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julio de 2002 tuvo entrada en el Registro General del Tribunal Constitucional escrito del Juzgado de lo Social núm. 2 de León, al que se acompaña, junto al testimonio del correspondiente procedimiento, el Auto del referido Juzgado de 28 de junio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Mª Josefa García Serrano, personal estatutario de la Seguridad Social, con la categoría profesional de ATS/DUE, que viene prestando servicios para el Instituto Nacional de la Salud (INSALUD) en la provincia de León (a partir del 1 de febrero de 2002 pasa a prestar servicios para la Comunidad Autónoma de Castilla y León, en virtud del Real Decreto 1480/2001, de 27 de diciembre, sobre traspaso a la Comunidad Autónoma de Castilla y León de las funciones y servicios del INSALUD), interpuso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 reconozca su derecho a que en lo sucesivo las cuotas colegiales sean sufragadas por la Administración sanitaria para la que presta servicios y se condene a ésta a devolver a la demandante la cantidad de 526,13 €, por las cuotas colegiales correspondientes al cuarto trimestre de 1998 y a los años 1999, 2000 y 2001, abonadas por la demandante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318-2002), se celebró el juicio con fecha 6 de junio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6 de junio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 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10 de junio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fechado el día 11 de junio de 2002, mostrando su conformidad con los argumentos expuestos por el Juzgado en sobre la procedencia de plantear la cuestión de inconstitucionalidad. En el mismo sentido se pronunció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En fin, la representación de la demandante presentó su escrito de alegaciones el 20 de junio de 2002,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la demandante es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28 de junio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6 de junio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por la demandante al planteamiento de la cuestión. Y así razona que el art. 16.2 de la Ley 8/1997 es aplicable al personal estatutario de la Seguridad Social que preste servicios en la Administración de Castilla y León; asimismo, que el destinatario de los servicios sanitarios prestados por la actora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la actora;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el personal laboral, en tanto que la actora en el proceso a quo es personal estatutario de la Seguridad Social, que quedaría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 y 18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28 de junio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6 de junio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 y justifica su admisión a trámite.</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carácter de legislación básica dictada al amparo del art. 149.1.13 y 18 CE, según establece la disposición final segunda del propio Real Decreto-ley)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la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este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FJ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