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noviembre de 2001, la Procuradora de los Tribunales doña Beatriz de la Mera González, en nombre y representación de don Francisco Javier García Páez, interpuso recurso de amparo contra la Sentencia de la Sección Octava de la Audiencia Provincial de Cádiz de 10 de octubre de 2001, que, revocó la Sentencia del Juzgado de lo Penal núm. 1 de Jerez de la Frontera de 28 de mayo de 2001, y le condenó como autor de un delito continuado de injurias graves a la pena de diez meses de multa con cuota diaria de quinientas pesetas, con responsabilidad subsidiaria de un día de privación de libertad por cada dos cuotas insatisfechas, al pago de una indemnización de un millón de ptas. al injuriado y al pago de una parte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principio acusatorio en el marco del derecho a un proceso con todas las garantías (art. 24.2 CE) y a la libertad de expresión, de pensamientos, ideas y opiniones y a la libertad de información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2002, la Sección Segunda acordó admitir a trámite la demanda de amparo, formar la pieza de suspensión y, de conformidad con lo prevenido en el art. 56 LOTC,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13 de enero de 2003, la representación del demandante de amparo alegó los especiales perjuicios que le ocasionaría la ejecución de la pena de multa impuesta, dado que la escasez de recursos económicos para su pago así como para el pago de las costas procesales le impedirían seguir ejerciendo su profesión de abogado, pues tendría que cumplir la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14 de enero de 2003, el Ministerio Fiscal, de conformidad con la doctrina constitucional aplicable se opuso a la suspensión solicitada, dado que la resolución impugnada contiene tan sólo pronunciamientos de carácter patrimonial, de modo que los perjuicios que en su caso se ocasionaran serían reparables, por lo que deben prevalecer los intereses generales en el cumplimiento de las resoluciones judiciales. Señala, además que la eventual ejecución de la responsabilidad subsidiaria en caso de impago de la multa puede dar lugar a una nueva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y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y 117/1999, por todos). Esta doctrina es igualmente aplicable a la condena en costas procesales y a la indemnización, pues al entrañar un pago en dinero, su ejecución no provoca ningún perjuicio que pueda hacer inútil el recurso de amparo (AATC 244/1991; 2092/1992; 267/1995; y 117/1999, entre otros muchos). Por consiguiente, en atención al carácter excepcional de la suspensión (art. 56 LOTC) ha de denegarse la suspensión de las resoluciones impugnadas en relación con la condena a pena de multa, en responsabilidad civil y en costas procesales.</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136/1999); y, de otra parte, ni la entidad de la multa, ni, por consiguiente, la de la responsabilidad subsidiaria avalan dicha suspensión (ATC 245/2001).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de la Sentencia de la Sección Octava de la Audiencia Provincial de Cádiz de 10 de octubre de 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