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enero de 2002, la Procuradora de los Tribunales doña Everilda Camargo Sánchez, en nombre y representación de doña Nuria Amezcua Nuño, que actúa asistida por el Abogado don Cesar Camargo Sánchez, interpuso recurso de amparo contra Auto de la Sala Segunda del Tribunal Supremo de 5 de diciembre de 2001 por el que se acordó no haber lugar a la nulidad de actuaciones contra Sentencia de 29 de noviembre de 2001 en la que se estimaba el recurso de casación contra la Sentencia de la Sección Tercera de la Audiencia Provincial del Madrid de 5 de marzo de 1999, condenando a la recurrente, como autora de un delito continuado de apropiación indebida agravado con la circunstancia del art. 250.6 CP, a la pena de tres años y seis meses de prisión, inhabilitación especial del derecho de sufragio pasivo y del ejercicio de la abogacía, dada la íntima relación con la profesión de la condenada y la actividad delictiva desarrollada, y multa de 10 meses a razón de una cuota diaria de 5.000 pesetas; así como al pago de las costas procesales y de una responsabilidad civil de 14.500.000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La recurrente fue acusada por el Ministerio Fiscal y la acusación particular de un delito continuado de apropiación indebida. La defensa, por su parte, interesó la absolución por no constituir los hechos delito alguno, y alternativamente por concurrir las eximentes 1 y 2 del art. 20 CP. La Sentencia de la Sección Tercera de la Audiencia Provincial de Madrid de 5 de marzo de 1999 absolvió a la recurrente al considerar que los hechos probados serían constitutivos de un delito de estafa del que no había sido acusada. La acusación particular interpuso recurso de casación ante el Tribunal Supremo alegando la inaplicación del art. 252 CP, a lo que se adhirió el Ministerio Fiscal. La Sentencia de la Sala Segunda del Tribunal Supremo de 29 de noviembre de 2000 estimó el recurso al considerar que los hechos eran constitutivos de un delito continuado de apropiación indebida, y por segunda Sentencia de esa misma fecha se condenó a la recurrente. </w:t>
      </w:r>
    </w:p>
    <w:p w:rsidRPr="00C21FFE" w:rsidR="00AD51A7" w:rsidRDefault="008777C4">
      <w:pPr>
        <w:rPr/>
      </w:pPr>
      <w:r w:rsidRPr="&lt;w:rPr xmlns:w=&quot;http://schemas.openxmlformats.org/wordprocessingml/2006/main&quot;&gt;&lt;w:lang w:val=&quot;es-ES_tradnl&quot; /&gt;&lt;/w:rPr&gt;">
        <w:rPr/>
        <w:t xml:space="preserve">b) La recurrente interpuso recurso de amparo ante este Tribunal contra estas resoluciones, alegando vulneración de la tutela judicial efectiva al no haber pronunciamiento judicial sobre la concurrencia de las causas de exclusión de la responsabilidad alegadas. La providencia de la Sección Primera de este Tribunal de 28 de junio de 2001 inadmitió a trámite el recurso por falta de agotamiento de la vía judicial, ya que, al implicar la vulneración alegada una incongruencia omisiva, se debería haber acudido al incidente de nulidad de actuaciones del 240.3 LOPJ. </w:t>
      </w:r>
    </w:p>
    <w:p w:rsidRPr="00C21FFE" w:rsidR="00AD51A7" w:rsidRDefault="008777C4">
      <w:pPr>
        <w:rPr/>
      </w:pPr>
      <w:r w:rsidRPr="&lt;w:rPr xmlns:w=&quot;http://schemas.openxmlformats.org/wordprocessingml/2006/main&quot;&gt;&lt;w:lang w:val=&quot;es-ES_tradnl&quot; /&gt;&lt;/w:rPr&gt;">
        <w:rPr/>
        <w:t xml:space="preserve">c) La recurrente planteó incidente de nulidad de actuaciones basado en la mencionada incongruencia omisiva sobre la concurrencia de las exenciones de la responsabilidad, acordándose no haber lugar a la misma por Auto de la Sala Segunda del Tribunal Supremo de 5 de diciembre de 2001, basado en que la falta de pronunciamiento en la Sentencia de instancia sobre dicho extremo se debió a que era absolutoria por respeto al principio acusatorio y sin que en el relato de hechos probados aparezca ninguna situación fáctica que determine una subsunción en una atenuación o exención. En cuanto a la omisión en la Sentencia de casación se desestima, porque la propia recurrente en la impugnación de la casación nada alega sobre sus condiciones psíquicas.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solicita se anulen las resoluciones recurridas por vulneración del derecho a la tutela judicial efectiva, basándose en que, habiendo sido alegado que los hechos se produjeron bajo la adicción a drogas, y proponiendo prueba pericial que se practicó en la vista oral, no existió valoración de ella ni se obtuvo respuesta alguna en ninguna de las resoluciones judiciales. Mediante otrosí se solicita la suspensión de la ejecución de la Sentencia, habida cuenta de que su ejecución haría perder toda la finalidad de la demanda de amparo y su suspensión no supondría una grave perturbación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sendas providencias de 20 de febrero de 2003, acordó, respectivamente, la admisión a trámite de la demanda de amparo y la formación de pieza separada para la tramitación del incidente sobre la suspensión solicitada, concediendo a la recurrente y al Ministerio Fiscal el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efectuó sus alegaciones mediante escrito registrado el 28 de febrero de 2003, insistiendo, como ya lo hizo en la demanda de amparo, en que la no suspensión le causaría un perjuicio irreparable, perdiendo toda efectividad el recurso de amparo y que la suspensión no supondría una perturbación grave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conferido mediante escrito registrado el 3 de marzo de 2003. En él señala, tras cita de la doctrina recogida en el ATC 43/2003, de 10 de febrero, recaído en el recurso de amparo 2023-2001, que en lo referente a la pena privativa de libertad, dada su duración y el tiempo que normalmente se consume en la tramitación de un proceso como el presente, se ha de acceder a la suspensión, ya que, de lo contrario, perdería el amparo su finalidad, sin que se observe que de su suspensión pueda derivarse perturbación del interés general. Igualmente considera que han de suspenderse las penas accesorias de inhabilitación especial, al ser doctrina de este Tribunal que tales penas sigan la suerte de la principal. En relación con el pago de la multa, de la indemnización y las costas, por su carácter económico y susceptibilidad de reparación considera no deben ser suspendidas.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(por todos, AATC 99/2002, de 5 de junio, FJ 1; 223/2002, de 11 de noviembre, FJ 2; 9/2003, de 9 de enero, FJ 1 o 26/2003, de 28 de enero, FJ 1)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 (por todos, AATC 9/2003, de 9 de enero, FJ 1 o 26/2003, de 28 de enero, FJ 1).</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AATC 9/2003, de 9 de enero, FJ 1 o 26/2003, de 28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total de la misma, que es de tres años y seis meses,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 Por otro lado, atendidas las demás circunstancias concurrentes en el caso, y en especial que la pena impuesta es de corta duración, no se aprecia que acceder a la suspensión solicitada ocasione una lesión específica y grave del interés general, más allá de aquélla que de por sí produce la no ejecución inmediata de un fallo judicial (AATC 106/2002, de 17 de junio, FJ 2 y 165/2002, FJ 2). Y lo mismo cabe decir del arresto sustitutorio en caso de impago de la multa.</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del derecho de sufragio pasivo y del ejercicio de la abogacía durante el tiempo de la condena pues, como recuerda el Ministerio Fiscal, conforme a nuestra Jurisprudencia las penas accesorias han de seguir en principio la misma suerte que la principal (por todos, AATC 9/2003, de 9 de enero, FJ 2 o 26/2003, de 28 de enero, FJ 2).</w:t>
      </w:r>
    </w:p>
    <w:p w:rsidRPr="00C21FFE" w:rsidR="00AD51A7" w:rsidRDefault="008777C4">
      <w:pPr>
        <w:rPr/>
      </w:pPr>
      <w:r w:rsidRPr="&lt;w:rPr xmlns:w=&quot;http://schemas.openxmlformats.org/wordprocessingml/2006/main&quot;&gt;&lt;w:lang w:val=&quot;es-ES_tradnl&quot; /&gt;&lt;/w:rPr&gt;">
        <w:rPr/>
        <w:t xml:space="preserve">No procede, sin embargo,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(ATC 165/2002, FJ 2 y las numerosas resoluciones allí citadas); ello es aplicable a la multa, las costas e indemnizaciones.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Sala Segunda del Tribunal Supremo de 29 de noviembre de 2000, exclusivamente en lo referente a la pena privativa de libertad, arresto sustitutorio en caso de impago y a las accesorias de</w:t>
      </w:r>
    </w:p>
    <w:p w:rsidRPr="" w:rsidR="00AD51A7" w:rsidRDefault="008777C4">
      <w:pPr>
        <w:rPr/>
      </w:pPr>
      <w:r w:rsidRPr="&lt;w:rPr xmlns:w=&quot;http://schemas.openxmlformats.org/wordprocessingml/2006/main&quot;&gt;&lt;w:szCs w:val=&quot;24&quot; /&gt;&lt;/w:rPr&gt;">
        <w:rPr/>
        <w:t xml:space="preserve">inhabilitación especial del derecho de sufragio pasivo y del ejercicio de la abogacía durante el tiempo de la condena.</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 w:rsidR="00AD51A7" w:rsidRDefault="008777C4">
      <w:pPr>
        <w:rPr/>
      </w:pPr>
      <w:r w:rsidRPr="&lt;w:rPr xmlns:w=&quot;http://schemas.openxmlformats.org/wordprocessingml/2006/main&quot;&gt;&lt;w:szCs w:val=&quot;24&quot; /&gt;&lt;/w:rPr&gt;">
        <w:rPr/>
        <w:t xml:space="preserve">3º Adelantar la presente causa en el orden de señalamientos.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