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 de agosto de 2002, don Tomás Calvo García solicitó la designación de Abogado y Procurador de los del turno de oficio para interponer recurso de amparo contra la Sentencia de la Sala de lo Contencioso administrativo del Tribunal Superior de Justicia de Madrid, dictada en el recurso contencioso administrativo núm. 26286/99.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10 de enero de 2003, se concedió al Letrado don Tomás Rosón Olmedo y a la Procuradora doña María Mercedes Pérez García, designados del turno de oficio, el plazo de veinte días para que formularan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Sra. Pérez García, por escrito presentado el 11 de febrero de 2003, solicita se le tenga por desistida del amparo, lo que ratifica con su firma el Letrado director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12 de febrero de 2003, se concediplazo de diez días para que ratificara el desistimiento solicitado, lo que efectuó por comparecencia de 24 de febrero siguiente, según consta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24 de febrero de 2003,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dictamen que tuvo entrada en el Tribunal el 3 de marzo de 2003, considera que es procedente aceptar el desistimiento instado por el recurrente y proceder al archivo del procedimiento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Procede acordar el archivo de las presentes actuaciones, toda vez que con anterioridad a formularse la demanda de amparo, el recurrente de amparo ha ratificado la manifestación de desistir del procedimiento instado, formulada por los profesionales designados del turno de oficio para su representación y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