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24 de julio de 2002, el Procurador de los Tribunales don Ramón Rodríguez Nogueira, en nombre y representación de don Julio José Coronado Asensio, interpuso recurso de amparo contra la Sentencia dictada por la Sección Novena de la Audiencia Provincial de Valencia el día 29 de junio de 2002 por la que, desestimando el recurso de apelación interpuesto frente a la Sentencia de 5 de diciembre de 2001 del Juzgado de Primera Instancia núm. 1 de Requena,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Coronado Asensio, Secretario de Administración local con habilitación de carácter nacional, en reclamación de 150.000 pesetas en concepto de cuotas colegiales no abonadas. </w:t>
      </w:r>
    </w:p>
    <w:p w:rsidRPr="00C21FFE" w:rsidR="00AD51A7" w:rsidRDefault="008777C4">
      <w:pPr>
        <w:rPr/>
      </w:pPr>
      <w:r w:rsidRPr="&lt;w:rPr xmlns:w=&quot;http://schemas.openxmlformats.org/wordprocessingml/2006/main&quot;&gt;&lt;w:lang w:val=&quot;es-ES_tradnl&quot; /&gt;&lt;/w:rPr&gt;">
        <w:rPr/>
        <w:t xml:space="preserve">b) El Sr. Coronado Asensio se opuso a la demanda alegando las excepciones de incompetencia de jurisdicción y de falta de legitimidad constitucional de la obligatoriedad de la pertenencia al colegio, las cuales fueron desestimadas en Sentencia dictada el 5 de diciembre de 2001 por el Juzgado de Primera Instancia núm. 1 de Requena.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desestimado en la dictada el 29 de junio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septiembre de 2003 la Sala Segunda de este Tribunal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septiembre de 2003 tuvo entrada en el registro de este Tribunal el escrito de alegaciones del demandante de amparo. En él señaló el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ocasionándole de este modo un perjuicio irreparable. Aduce en apoyo de sus argumentaciones lo declarado por la Sentencia dictada por el Pleno de este Tribunal el 23 de abril de 2003 (STC 76/2003), así como por la Sentencia de la Sala Primera de fecha 22 de mayo de 2003, que estimaron los correspondientes recursos de amparo interpuestos en casos idénticos al presente, resoluciones en las que se declaró vulnerado el derecho del recurrente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29 de junio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22 de septiembre de 2003 presentó su escrito de alegaciones el Ministerio Fiscal. En él manifiesta, en primer lugar, que la medida de no suspensión y la obligación consiguiente de pagar las cuotas debidas no supone que el Tribunal Constitucional entienda que no se ha vulnerado el derecho de asociación o el derecho a la igualdad. Resalta el carácter excepcional de la medida de suspensión de resoluciones judiciales y que es doctrina de este Tribunal que no procede la suspensión de las que admiten la restitución íntegra de lo ejecutado como sucede con los pronunciamientos de efectos exclusivamente patrimoniales. En el caso que nos ocupa estamos ante un supuesto de perjuicio meramente económico, y además no hay riesgo de impago en caso de estimación del amparo, dada la nimiedad de la cantidad y la solvencia de la acreedora. Recuerda finalmente que un caso similar al presente ha sido resuelto por los AATC 159/2002, 169/2002 y 227/2002, en el sentido de no acordar la suspensión solicitada.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un lado, de los intereses generales y de los derechos fundamentales de terceros, cuya perturbación grave o lesión actúa como límite de la adopción de la medida cautelar, y, de otro lado, del interés particular del demandante de amparo, que alega a su vez la lesión de un derecho fundamental. En tal aspecto es el potencial perjudicado quien ha de justificar el riesgo o peligro de perjuicio, pues, aunque la viabilidad de la demanda sirva para apreciar una inicial apariencia de buen derecho de las pretensiones en ella contenidas, también se requiere la justificación de un riesgo o peligro de que, de no acordarse la suspensión de la ejecución de la resolución impugnada en amparo, se ocasionaría al demandante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sentido hemos entendido que sólo hay peligro o riesgo de perjuicio irreparable cuando la ejecución prevista del acto recurrido pueda provocar que el posterior y eventual restablecimiento del recurrente en el derecho constitucional vulnerado, en el supuesto de que el amparo sea otorgado, sea tardío e impida definitivamente que tal restauración resulte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que en esta fase del procedimiento no puede quedar prejuzgado, conllevaría el derecho del demandante de amparo a que no le sean cobradas las cuotas que reclama el Colegio de secretarios, interventores y tesoreros de Administración local con habilitación nacional de la provincia de Valencia. Lo que se pretende, con la suspensión de la ejecución de la Sentencia que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indica la doctrina constitucional (ver AATC 159/2002; 169/2002; 227/2002 y 248/2003, que resuelven peticiones de suspensión coincidentes con la presente), sacrificando el interés del recurrente, porque éste es perfectamente reparable en el caso de que se conceda en su momento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