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mayo de 2002, la Procuradora de los Tribunales doña María del Rosario Castro Rodrigo, interpuso, en nombre de don José Antonio Dolo Montesinos, recurso de amparo contra la Sentencia de 25 de abril de 2002 de la Sección Séptima de la Audiencia Provincial de Alicante que desestimó en apelación la Sentencia del Juzgado de lo Penal núm. 2 de Elche de 11 de septiembre de 2001 en virtud de la cual el recurrente resultó condenado, como autor de un delito de conducción bajo el efecto de bebidas alcohólicas (art. 379 CP), a las penas de cuatro meses multa con cuota diaria de mil pesetas y privación del derecho a conducir vehículos a motor y ciclomotores durante un año y cuatro meses; asimismo fue condenado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 la presunción de inocencia (art. 24.2 CE) en relación con el derecho a la integridad física (art. 15 CE), el derecho de defensa y el derecho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octubre de 2003,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24 de octubre de 2003, la representación del demandante de amparo razonó sobre la procedencia de la suspensión interesada afirmando que la suspensión no ocasionaría perturbación grave de los intereses generales frente a los perjuicios irreparables que la ejecución de la pena de privación del derecho a conducir vehículos de motor y ciclomotores le ocasionaría dada su profesión de repartidor que acredita mediante la presentación del contrato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24 de octubre de 2003, el Ministerio Fiscal, interesó la denegación de la suspensión de la resolución en lo atinente a los pronunciamientos condenatorios de carácter patrimonial, si bien interesó se accediera a la suspensión de la ejecución de la pena de privación del derecho de conducir vehículos de motor en atención a los perjuicios irreparables que se le ocasionarían al recurrente dada su profesión de repartidor.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en relación con la pena de multa, y el arresto sustitutorio para caso de impago, la privación del derecho a conducir vehículos a motor y ciclomotores y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y 275/1990, 117/1999, 106/2002, 313/2003, por todos). Esta doctrina es igualmente aplicable a la condena en costas procesales, pues al entrañar un pago en dinero, su ejecución no provoca ningún perjuicio que pueda hacer inútil el recurso de amparo (AATC 244/1991 y 2092/1992, 267/1995, 117/1999, entre otros muchos). Por consiguiente, en atención al carácter excepcional de la suspensión (art. 56 LOTC) ha de denegarse la suspensión de las resoluciones impugnadas en relación con las penas de multa impuestas y la condena en costas procesales.</w:t>
      </w:r>
    </w:p>
    <w:p w:rsidRPr="00C21FFE" w:rsidR="00AD51A7" w:rsidRDefault="008777C4">
      <w:pPr>
        <w:rPr/>
      </w:pPr>
      <w:r w:rsidRPr="&lt;w:rPr xmlns:w=&quot;http://schemas.openxmlformats.org/wordprocessingml/2006/main&quot;&gt;&lt;w:lang w:val=&quot;es-ES_tradnl&quot; /&gt;&lt;/w:rPr&gt;">
        <w:rPr/>
        <w:t xml:space="preserve">Tampoco ha de suspenderse en este momento la responsabilidad personal subsidiaria para el caso de impago de la multa, dado que se trata de una eventualidad incierta, que depende de que, efectivamente, la multa no llegue a ser abonada voluntariamente o por la vía de apremio y, en cualquier caso, de una eventualidad futura, que, en caso de sobrevenir, podría dar lugar a la modificación de la medida cautelar que ahora se adopta, en virtud del art.  57 LOTC (AATC 136/1999; 48/2003).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ha de acordarse la suspensión de la ejecución de la pena de privación del permiso de conducir, dada la concurrencia de las circunstancias laborales alegadas, pues la corta duración de la pena impuesta haría perder al amparo su finalidad, caso de no accederse a la suspensión interesada (AATC 136/1996, de 27 de marzo, FJ 2; 55/1998, de 2 de marzo, FJ 3; 62/2002, de 22 de abril, FJ 3; y 313/2003, de 29 de septiembre, FJ 3), sin que, dada la escasa gravedad del hecho en atención a la gravedad de la pena impuesta, se observen graves perjuicios de los intereses generales o derechos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suspensión de la ejecución de las Sentencias de la Sección Séptima de la Audiencia Provincial de Alicante de 25 de abril de 2002 y del Juzgado de lo Penal núm. 2 de Elche de 11 de septiembre de 2001 en lo relativo a la pena de privación del derecho a</w:t>
      </w:r>
    </w:p>
    <w:p w:rsidRPr="" w:rsidR="00AD51A7" w:rsidRDefault="008777C4">
      <w:pPr>
        <w:rPr/>
      </w:pPr>
      <w:r w:rsidRPr="&lt;w:rPr xmlns:w=&quot;http://schemas.openxmlformats.org/wordprocessingml/2006/main&quot;&gt;&lt;w:szCs w:val=&quot;24&quot; /&gt;&lt;/w:rPr&gt;">
        <w:rPr/>
        <w:t xml:space="preserve">conducir vehículos de motor y ciclomotores y denegar la suspensión de las mismas en cuanto al resto de sus pronunciamientos.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