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febrero de 2003, la Procuradora de los Tribunales doña María del Mar Gómez Rodríguez, interpuso, en nombre de don Roberto Alarcón García, recurso de amparo contra los Autos de la Sección Cuarta de la Audiencia Provincial de Valencia de 29 de noviembre de 2002 y de 9 de enero de 2003, en virtud de los cuales se prorrogó la prisión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libertad personal (art. 17.1 CE) en relación con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2003,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 de octubre de 2003, el Ministerio Fiscal, interesó la denegación de la suspensión de las resoluciones, de conformidad con la jurisprudencia reiterada de este Tribunal (AATC 180/1998, 275/1999, 180/2000, 292/2001), pues la suspensión de la ejecución constituiría una auténtica anticipación de un eventual amparo y supondría una grave perturbación en el ejercicio de las funciones jurisdiccionales y en el interés general que su ejecución implica. Todo ello, sin perjuicio de que se de tramitación preferente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para efectuar alegaciones, la representación procesal del recurrente de amparo no las formuló.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de las resoluciones judiciales de prórroga de la prisión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advierte el Ministerio Fiscal, es doctrina reiterada de este Tribunal que si bien la afección del derecho a la libertad personal de las resoluciones impugnadas supone que su ejecución causa perjuicios irreparables, sin embargo, la suspensión de la ejecución de las resoluciones judiciales relativas a medidas cautelares de acuerdo o prórroga de prisión provisional equivaldría a un otorgamiento anticipado del amparo, no procediendo en este trámite un examen de fondo de la demanda. En particular, hemos declarado: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cabría la suspensión de resoluciones judiciales al convertirse la perturbación del interés general causa de denegación de la misma. La mera perturbación que provoca ya la pérdida de ejecutividad de una resolución judicial no puede impedir por sí sola la suspensión (ATC 169/1995), por tanto el análisis ha de efectuarse caso por caso valorando los intereses en conflicto. 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[ATC 332/1996; en sentido similar AATC 249/1996, 22/1997, 164/1998, 147/2000, 275/1999, 121/2001].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no procede conceder la suspensión solicitada; sin embargo, la gravedad y certeza de los perjuicios que esta denegación puede ocasionar obligan a este Tribunal a reducir en lo posible esos efectos, con lo que, como se ha hecho en otros casos, y singularmente en los antes citados, la Sala acuerda acelerar la resolución del presente recurso, incluso anteponiéndola en el orden de señalamientos (AATC 249/1996, 22/1997, 164/1998, 147/2000, 275/1999, 121/2001).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los Autos de la Sección Cuarta de la Audiencia Provincial de Valencia de 29 de noviembre de 2002 y 9 de enero de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