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diciembre 2002, la Procuradora de los Tribunales doña Myriam Álvarez Del Valle Levesque, interpuso, en nombre de don Jorge Ávila Valera, recurso de amparo contra la Sentencia de la Sección Séptima de la Audiencia Provincial de Cádiz en virtud de la cual resultó condenado como autor de un delito de robo con violencia de los arts. 237 y 241.1 y 2 CP y un delito de lesiones del art. 147 CP a las penas de tres años y seis meses de prisión por el primero y un año de prisión por el segundo, con accesoria de inhabilitación especial para el derecho de sufragio pasivo durante el tiempo de la condena, así como a indemnizar a la víctima en 25.050 euros y el pago de las costas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al proceso con todas las garantías y a la presunción de inocencia (art. 24.2 CE), al haber sido condenado en apelación, previa revocación de la Sentencia absolutoria de primera instancia, con una nueva valoración de la prueba realizada sin celebración de vista oral, y, por tanto, sin respetar las garantías de inmediación y contradición.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enero de 2004,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30 de enero de 2004, la representación del demandante de amparo razonó sobre la procedencia de la suspensión interesada afirmando que la suspensión no ocasionaría perturbación grave de los intereses generales frente a los perjuicios irreparables que el ingreso en prisión le produciría. En particular, aduce que, habiendo solicitado indulto le ha sido denegado, razón por la cual ingresará en prisión el 1 de marzo de este año, cuando está trabajando en la actualidad y no ha faltado a los llamamientos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 de febrero de 2004, el Ministerio Fiscal interesó la suspensión de las penas privativas de libertad impuestas, ya que al afectar a la libertad del recurrente sería de difícil restitución, por lo que, dado el tiempo que normalmente se consume en tramitar el proceso de amparo, de no accederse a la suspensión se provocaría un perjuicio que tornaría en inútil el presente procedimiento. En su criterio, la misma suerte ha de correr la pena accesoria impuesta, de inhabilitación especial, en aplicación de la doctrina constitucional, mientras que las penas de contenido económico, puesto que son susceptibles de restitución íntegra, no deben ser suspendidas.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las penas privativas de libertad impuestas -prisión de tres años y seis meses y un año-, las dos penas accesorias de inhabilitación especial y las condenas al pago de la indemnización y de las costas de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275/1990; 117/1999, por todos). Esta doctrina es igualmente aplicable a la condena en costas procesales, pues al entrañar un pago en dinero, su ejecución no provoca ningún perjuicio que pueda hacer inútil el recurso de amparo (AATC 244/1991;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en responsabilidad civil y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Respecto de condenas a penas privativas de libertad de hasta cinco años, la regla general ha sido su suspensión conforme al criterio genérico de la pérdida de eficacia del amparo -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Aplicada la doctrina expuesta al presente caso procede la suspensión solicitada en lo atinente a las penas de prisión impuestas de tres años y seis meses y un año, pues, como advierte el Fiscal, atendida su global duración y la previsible duración del proceso de amparo, la denegación de la suspensión podría hacer perder al amparo su finalidad.</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especial impuesta, pues, de conformidad con la jurisprudencia constitucional, las penas accesorias siguen la suerte de la principal (entre muchos, AATC 144/1984; 267/1995; 301/1995; 7/1996; 152/1996; 87/1997; 286/1997; 182/1998; 271/1998; 83/2000; y 22/2002).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Sentencia de la Sección Séptima de la Audiencia Provincial de Cádiz de 11 de noviembre de 2002 en lo atinente a las penas privativas de libertad e inhabilitación especial impuestas.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