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22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20 de abril de 2001 en el Registro General de este Tribunal, el Asesor Jurídico-Letrado de la Comunidad Foral de Navarra, actuando en representación de esta Administración, interpuso recurso de amparo contra la Sentencia de 22 de marzo de 2001, de la Sala de lo Contencioso- Administrativo del Tribunal Superior de Justicia de Navarra, por la que se estima el recurso contencioso-administrativo formulado frente al Acuerdo del Gobierno de Navarra de 15 de septiembre de 1997, desestimatorio, a su vez, del recurso ordinario promovido contra la Orden Foral de 14 de mayo de 1997,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14 de mayo de 1997, el Consejero de Industria, Comercio, Turismo y Trabajo impuso a la mercantil "Wisco Española,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15 de septiembre de 1997.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al art. 44.1 a) y 50.1 a) de la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22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w:t>
      </w:r>
    </w:p>
    <w:p w:rsidRPr="00C21FFE" w:rsidR="00AD51A7" w:rsidRDefault="008777C4">
      <w:pPr>
        <w:rPr/>
      </w:pPr>
      <w:r w:rsidRPr="&lt;w:rPr xmlns:w=&quot;http://schemas.openxmlformats.org/wordprocessingml/2006/main&quot;&gt;&lt;w:lang w:val=&quot;es-ES_tradnl&quot; /&gt;&lt;/w:rPr&gt;">
        <w:rPr/>
        <w:t xml:space="preserve">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2228-2001.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