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 de marzo de 2001 en el Registro General de este Tribunal, la Asesora Jurídica-Letrada de la Comunidad Foral de Navarra, actuando en representación de esta Administración, interpuso recurso de amparo contra la Sentencia de 1 de febrero de 2001, de la Sala de lo Contencioso-Administrativo del Tribunal Superior de Justicia de Navarra, por la que se estima el recurso contencioso-administrativo formulado frente al Acuerdo del Gobierno de Navarra de 30 de marzo de 1998, desestimatorio, a su vez, del recurso ordinario promovido contra la Orden Foral núm. 1026/1997, de 20 de febrero,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1026/1997, de 20 de febrero, el Consejero de Obras Públicas, Transportes y Comunicaciones impuso a la mercantil "Transportes La Oñatiarra, S.L.",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30 de marzo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al art.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1 de febrero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1166-2001.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