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27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19 de abril de 2001 en el Registro General de este Tribunal, el Asesor Jurídico-Letrado de la Comunidad Foral de Navarra, actuando en representación de esta Administración, interpuso recurso de amparo contra la Sentencia de 20 de marzo de 2001, de la Sala de lo Contencioso- Administrativo del Tribunal Superior de Justicia de Navarra, por la que se estima el recurso contencioso-administrativo formulado frente al Acuerdo del Gobierno de Navarra de 23 de febrero de 1998, desestimatorio, a su vez, del recurso ordinario promovido contra la Orden Foral núm. 1804/1997, de 18 de abril, del Consejero de Obras Públicas, Transportes y Comunicaciones,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núm. 1804/1997, de 18 de abril, el Consejero de Obras Públicas, Transportes y Comunicaciones impuso a don Manuel Piñol Pasto,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23 de febrero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el citado señor interpuso recurso contencioso-administrativo. Durante la tramitación de este recurso (y más en concreto una vez elevados los correspondientes escritos de conclusiones), la Sala de lo Contencioso- Administrativo del Tribunal Superior de Justicia de Navarra acordó,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persona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Cuarta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Cuarta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Cuarta de este Tribunal acordó la inadmisión a trámite del recurso de amparo promovido por la Comunidad Foral de Navarra frente a la Sentencia de 20 de marzo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queja relativa a la pretendida vulneración del derecho a la tutela judicial efectiva por incurrir, en primer lugar, la motivación de la Sentencia en un error patente, además de ser manifiestamente irrazonable y arbitraria, debe ser inadmitida por falta de legitimación de la Comunidad Foral de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aquel al que hace referencia la presente queja.</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la queja correspondiente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2193-2001.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