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27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25 de junio de 2001 en el Registro General de este Tribunal, la Asesora Jurídica-Letrada de la Comunidad Foral de Navarra, actuando en representación de esta Administración, interpuso recurso de amparo contra la Sentencia de 22 de mayo de 2001, de la Sala de lo Contencioso- Administrativo del Tribunal Superior de Justicia de Navarra, por la que se estima el recurso contencioso-administrativo formulado frente al Acuerdo del Gobierno de Navarra de 4 de mayo de 1998, desestimatorio, a su vez, del recurso ordinario promovido contra la Orden Foral núm. 4409/1997, de 21 de octubre,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4409/1997, de 21 de octubre, el Consejero de Obras Públicas, Transportes y Comunicaciones impuso a la mercantil Canteras y Hormigones del Norte,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4 de mayo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Cuarta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Cuarta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Cuarta de este Tribunal acordó la inadmisión a trámite del recurso de amparo promovido por la Comunidad Foral de Navarra frente a la Sentencia de 22 de mayo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alegación referida a la presunta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aquel al que hace referencia la presente queja.</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denuncia de la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3560-2001.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