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27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17 de octubre de 2001 en el Registro General de este Tribunal, el Asesor Jurídico-Letrado de la Comunidad Foral de Navarra, actuando en representación de esta Administración, interpuso recurso de amparo contra la Sentencia de 21 de septiembre de 2001, de la Sala de lo Contencioso- Administrativo del Tribunal Superior de Justicia de Navarra, por la que se estima el recurso contencioso-administrativo formulado frente al Acuerdo del Gobierno de Navarra de 20 de julio de 1998, desestimatorio, a su vez, del recurso ordinario promovido contra la Orden Foral núm. 1404/1998, de 3 de abril, del Consejero de Obras Públicas, Transportes y Comunicaciones,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núm. 1404/1998, de 3 de abril, el Consejero de Obras Públicas, Transportes y Comunicaciones impuso a la mercantil "Transportes y Excavaciones Planillo, S.L.",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20 de julio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mercantil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Cuarta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13 de junio de 2002, de la Secretaría de Justicia de la Sección Cuarta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Añade, a continuación, esta parte procesal que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 Como sustento de sus pretensiones, la persona jurídico- pública recurrente se refiere, por último, en sus alegaciones a la doctrina del Tribunal Europeo de Derechos Humanos "sobre el principio procesal de equivalencia de armas, el cual exige, como recientemente se ha ocupado de recordar el citado Tribunal en su Sentencia de 4 de junio de 2002 (caso Komanický v. Eslovaquia; application núm.. 32106/96), que cada una de las partes tenga una razonable oportunidad de presentar su caso bajo condiciones que no le coloquen en una sustancial desventaja frente a su oponente (punto 45 de la Sentencia, dentro de los principios relevantes acogidos por el Tribunal), añadiendo que (punto 46, idem) cada parte debe tener la oportunidad no sólo de ser oída sino también de influir realmente en la decisión del Tribunal. (...) Pues bien, tal principio ha quebrado radicalmente en el caso que nos ocupa, en el que esta parte demandada en el proceso de instancia se ha encontrado en una situación de absoluta desventaja, ya que, a pesar de ser oída formalmente por el Tribunal sentenciador, se ha visto privada, por la actuación de éste, de la posibilidad real de poder incidir en la decisión a adoptar finalmente por el mismo, sufriendo con ello una absoluta, definitiva e irreparable indefensión dentro del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Cuarta de este Tribunal acordó la inadmisión a trámite del recurso de amparo promovido por la Comunidad Foral de Navarra frente a la Sentencia de 21 de septiembre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alegación referida a la presunta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aquel al que hace referencia la presente queja.</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denuncia de la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5351-2001.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