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22 de octubre de 2001 en el Registro General de este Tribunal, el Asesor Jurídico-Letrado de la Comunidad Foral de Navarra, actuando en representación de esta Administración, interpuso recurso de amparo contra la Sentencia de 21 de septiembre de 2001, de la Sala de lo Contencioso- Administrativo del Tribunal Superior de Justicia de Navarra, por la que se estima el recurso contencioso-administrativo formulado frente al Acuerdo del Gobierno de Navarra de 9 de febrero de 1998, desestimatorio, a su vez, del recurso ordinario promovido contra la Orden Foral núm. 2278/1997, de 16 de mayo,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2278/1997, de 16 de mayo, el Consejero de Obras Públicas, Transportes y Comunicaciones impuso a don Santos Sevilla Alcalde,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9 de febrero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el citado señor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persona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21 de septiembre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queja relativa a la pretendida vulneración del derecho a la tutela judicial efectiva por incurrir, en primer lugar, la motivación de la Sentencia en un error patente, además de ser manifiestamente irrazonable y arbitraria, debe ser inadmitida por falta de legitimación de la Comunidad Foral de Navarra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la queja correspondiente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5451-2001.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