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25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11 de junio de 2001 en este Tribunal, la Asesora Jurídica- Letrada de la Comunidad Foral de Navarra, actuando en representación de esta Administración, interpuso recurso de amparo contra la Sentencia de 14 de mayo de 2001, de la Sala de lo Contencioso-Administrativo del Tribunal Superior de Justicia de Navarra, por la que se estima el recurso contencioso-administrativo formulado frente al Acuerdo del Gobierno de Navarra de 6 de abril de 1998, desestimatorio, a su vez, del recurso ordinario promovido contra la Orden Foral núm. 4233/1997, de 8 de octubre, del Consejero de Obras Públicas, Transportes y Comunicaciones,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Por Orden Foral núm. 4233/1997, de 8 de octubre, el Consejero de Obras Públicas, Transportes y Comunicaciones impuso a la mercantil "Autocares Ibargoiti, S.L.",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6 de abril de 1998.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mercantil interpuso recurso contencioso- 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de la resolución sancionadora" o la "comunicación" que hace y firma el Secretario Técnico. Partiendo de esta constatación considera el órgano judicial que "el acto impugnado es nulo de pleno Derecho por la propia inexistencia de acto administrativo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mercantil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tal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alegación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Cuarta de este Tribunal acordó, por unanimidad, la inadmisión del recurso de amparo "conforme al art. 50.1 a) en relación con el art. 46 LOTC (falta de legitimación para interponer el recurso), respecto de la alegación relativa a la presunta infracción del art. 24.1, y conforme al art.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1167- 2001,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Cuarta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Cuarta de este Tribunal acordó la inadmisión a trámite del recurso de amparo promovido por la Comunidad Foral de Navarra frente a la Sentencia de 14 de mayo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 otro, porque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aducida vulneración del derecho a la tutela judicial efectiva por incurrir, en primer lugar, la motivación de la Sentencia en un error patente, además de ser manifiestamente irrazonable y arbitraria, debe ser inadmitida por falta de legitimación de la Comunidad Foral de Navarra para denunciar en amparo ante este Tribunal este tipo de queja constitucional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aquel al que hace referencia la presente queja.</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3277-2001.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