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26 de febrero de 2003, el Procurador de los Tribunales don Antonio Ramón Rueda López, en nombre y representación de don Angel Gil González, interpuso recurso de amparo contra la Sentencia de la Sección Sexta de la Audiencia Provincial de Madrid de 28 de enero de 2003, por la que se revocaba en apelación la Sentencia absolutoria dictada por el Juzgado de Instrucción núm.2 de Collado-Villalba, con fecha de 15 de julio de 2002, en el procedimiento seguido contra el recurrente por sendas faltas de coacciones y amenazas.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15 de julio de 2002, el Juzgado de Instrucción núm.2 de Collado-Villalba (Madrid) dictó una Sentencia en la que absolvió al demandante de amparo de las faltas de amenazas y de coacciones que le habían sido imputadas a raíz de la denuncia presentada por su ex esposa. Dicha absolución obedeció a que “a la vista de las pruebas practicadas en el acto del juicio, no ha quedado probado que...procediese a coaccionar ni amenazar...en los términos denunciados” (apartado segundo del relato de hechos probados), ya que “las declaraciones vertidas por las partes en el acto del juicio oral no han permitido esclarecer cómo se produjeron los hechos denunciados y, por consiguiente, la veracidad de los mismos”. </w:t>
      </w:r>
    </w:p>
    <w:p w:rsidRPr="00C21FFE" w:rsidR="00AD51A7" w:rsidRDefault="008777C4">
      <w:pPr>
        <w:rPr/>
      </w:pPr>
      <w:r w:rsidRPr="&lt;w:rPr xmlns:w=&quot;http://schemas.openxmlformats.org/wordprocessingml/2006/main&quot;&gt;&lt;w:lang w:val=&quot;es-ES_tradnl&quot; /&gt;&lt;/w:rPr&gt;">
        <w:rPr/>
        <w:t xml:space="preserve">b) Presentado por la denunciante recurso de apelación contra la anterior resolución (que fue impugnado por el demandante y por el Ministerio Fiscal), fue estimado por Sentencia de la Sección Sexta de la Audiencia Provincial de Madrid de 28 de enero de 2003, notificada a la representación del recurrente el 3 de febrero de ese mismo año, condenándose en consecuencia al Sr. Gil González, como autor responsable de una falta de coacciones, a la pena de arresto durante dos fines de semana y prohibición de aproximarse a la denunciante y a su domicilio durante cuatro meses, así como al pago de las costas procesales. En dicha resolución, pronunciada sin previa celebración de vista, se modificaban los hechos declarados probados en instancia al considerar el Juez ad quem, de acuerdo con las alegaciones vertidas en el recurso ante él presentado, que se había producido en el juicio de faltas prueba suficiente de los hechos denunciados, constituida “por las declaraciones de la denunciante y de los testigos vecinos de ésta”.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apelación ha vulnerado los derechos del solicitante de amparo a no padecer indefensión y a la defensa, respectivamente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Dichas pretendidas vulneraciones de derechos fundamentales se entienden producidas por la distinta valoración de la prueba realizada por el Tribunal unipersonal ad quem, sin celebración de vista oral del recurso de apelación, que le llevó a modificar los hechos declarados probados por el juzgador de instancia, introduciendo en el nuevo relato de los mismos elementos que en modo alguno habrían quedado probados en el juicio oral –tales como que el demandante de amparo permanecía horas estacionado en la puerta del domicilio de su ex esposa, o que tal hecho habría provocado en ésta una crisis de ansiedad- e, incluso, dando por cierto que tal conducta habría comenzado inmediatamente después de hacer concluido el periodo de alejamiento de ella que le había sido impuesto por Sentencia de la Sección Cuarta de la Audiencia Provincial de Madrid, cuando lo cierto es que dicha orden de alejamiento habría finalizado meses antes de las fechas en las que la denunciante afirmó haber sido coaccionada y amenazada por el actor, según queda acreditado en la Sentencia de dicha Sala de 15 de enero de 2002 que acompaña a la demanda de amparo. Todo ello sin que el órgano judicial de apelación tuviera inmediación respecto de las pruebas practicadas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13 de mayo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28 de mayo de 2004 en el que, de conformidad con la reiterada doctrina dictada al respecto por este Tribunal, consideraba procedente la suspensión exclusivamente de la ejecución de la pena privativa de libertad impuesta al demandante de amparo, en atención a su corta duración, no debiendo alcanzar tal efecto a la condena en costas dado que, al ser de contenido económico, su no suspensión no ocasionaría perjuicios de imposible reparación. Tampoco estimaba pertinente el Ministerio Fiscal la suspensión de la prohibición de aproximación a la víctima y a su domicilio pues, pese a ser asimismo de corta duración, de la misma no se derivarían perjuicios irreparables para el recurrente siendo en cambio una medida orientada a la protección de la víctima.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ocasionársele un perjuicio irreparable toda vez que, como ya hemos declarado en anteriores ocasiones (por todas: AATC 269/1998, de 26 de noviembre y 84/2002, de 20 de mayo), estando comprendida la duración de la condena a pena de prisión dentro de la duración de la tramitación del presente recurso,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No procede, en cambio, suspender la ejecución de la condena en costas toda vez que, al tratarse de un pronunciamiento de naturaleza económica, resulta reversible; ni tampoco la suspensión de la prohibición de acercamiento a la víctima y a su domicilio ya que tal medida no ocasiona perjuicio irreparable alguno al demandante de amparo, debiendo en consecuencia primar el interés general en su cumplimiento.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1º Conceder la suspensión solicitada en lo que a la pena privativa de libertad se refiere 2º Denegar la suspensión en lo tocante al resto de los pronunciamientos contenidos en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