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 de abril de 2003 la Procuradora de los Tribunales doña Blanca Berriatúa Horta, en nombre de doña María Eugenia García Chazarra, formuló demanda de amparo constitucional contra la Sentencia de 5 de marzo de 2003 dictada por la Audiencia Provincial de Alicante (sede en Elche) en recurso de apelación contra Sentencia dictada por el Juzgado de Instrucción núm. 6 de Torrevieja en juicio de faltas núm. 52-2003.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Como consecuencia de la denuncia formulada por dos policías locales se siguió juicio de faltas contra la demandante de amparo y su hermano. Celebrado el juicio oral el Juez de Instrucción condenó al hermano de la demandante como autor de una falta continuada de desobediencia a agentes de la autoridad y absolvió a la demandante de amparo por entender que su conducta no podía ser calificada de desobediencia, sino de coacciones. Ahora bien, no habiéndose formulado acusación por falta de coacciones, y no existiendo homogeneidad entre las infracciones penales, procedía la absolución por aplicación del principio acusatorio, que también rige en el juicio de faltas. La Sentencia fue apelada por el hermano de la demandante (en cuanto a su condena) y por los dos policías locales en lo relativo de la absolución de la demandante de amparo, respecto de la cual solicitaron que fuera condenada como autora de una falta de coacciones asumiendo la calificación jurídica efectuada por el Juez de Instrucción. El Juzgado dio traslado a las demás partes de los escritos de apelación y se formularon los correlativos escritos de impugnación. Cuando se dio traslado de los recursos formulados al Ministerio público éste interesó la desestimación del recurso de apelación deducido por el hermano, pero, en cambio, se adhirió al recurso de apelación de los policías locales y solicitó la condena de la demandante como autora de una falta de desobediencia (art. 634 CC) en los mismos términos en que había sido condenado el hermano. Sin dar traslado de este escrito a ninguna de las partes se remitieron los autos a la Audiencia, la cual, sin celebrar vista, dictó Sentencia condenando a la demandante por una falta de desobediencia a agentes de la autoridad, tal como había interesado el Fiscal, imponiendo una pena de veinte días a razón de seis euros diarios.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sustancial que fundamenta la demanda de amparo se puede sintetizar en la posición de indefensión en que se colocó a la demandante de amparo cuando fue condenada merced a un recurso de apelación adhesivo del Ministerio público del que no tuvo conocimiento, lo que le impidió contradecir la acusación que se formulaba en la segunda instancia y vulneró su derecho a conocer la acusación y a un juicio con todas las garantías (art. 24 CE). Por otrosí se solicita la suspensión de la ejecución de la Sentencia aduciendo que, aun cuando la pena impuesta es pecuniaria y de una cuantía no muy elevada, la ejecución sí tendría “los consiguientes efectos dentro del ámbito administrativo municipal, en orden al puesto representativo que ocupa”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tres de junio de 2004, la Sala,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formuló alegaciones el 14 de junio de 2004, reiterando la solicitud de suspensión de la ejecución y razonando a tal efecto que, aun cuando la pena impuesta sea de multa, su ejecución supone un descrédito para su persona si se tiene en cuenta que ostentó el cargo de Concejal del Ayuntamiento en la anterior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mediante escrito registrado el 16 de junio de 2004, mostró su parecer contrario a la suspensión. Tras recoger la doctrina constitucional aplicable al caso razona que, al tratarse de una pena económica fácilmente reparable en el supuesto de estimarse el amparo, no es procedente la suspensión, sin que pueda atenderse a tal efecto al aducido daño moral que ocasionaría a la demandante la condena en relación al cargo político que ostentaba.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 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las anteriores consideraciones conducen a denegar la suspensión de la pena de multa impuesta, pues la escasa cuantía de la misma (treinta días de arresto a razón de seis euros diarios) no permite separarse del criterio general contrario a la suspensión de este tipo de pronunciamientos judiciales, como tampoco el aducido descrédito que en su consideración pública pudiera tener la condena impuesta, pues, además de no ser tal alegación atendible, dicho descrédito derivaría del hecho mismo de la condena y no del cumplimiento de la pena pecuniaria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