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2002 el Procurador don Antonio Barreiro-Meiro Barbero interpuso demanda de amparo, en nombre y representación de don Manuel Jiménez Catalán, contra la Sentencia de la Sala de lo Civil del Tribunal Supremo de 20 de septiembre de 2002, que estima el recurso de casación formulado contra la Sentencia de la Sección vigésimo segunda de la Audiencia Provincial de Madrid de 7 de diciembre de 1996 y, en consecuencia, se declara la filiación no matrimonial respecto del demandado y se ordenan las rectificaciones registrales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 Sentencia de la Sala de lo Civil del Tribunal Supremo aquí impugnada vulnera el derecho a la tutela judicial efectiva (art. 24.1 CE) por valorar la prueba incurriendo en error patente y contradiciendo la jurisprudencia constitucional, así como el derecho a la igualdad (art. 14 CE). Así mismo, por medio de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22 de abril de 2004 la Sección Tercera de la Sala Segunda acordó, conforme al art. 50.3 LOTC, conceder plazo de diez días para alegaciones al demandante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julio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don Antonio Barreiro-Meiro Barbero presentó escrito en este Tribunal, registrado el 20 de julio de 2004, en el que formula sus alegaciones en relación con el incidente de suspensión, aduciendo que la ejecución de la resolución judicial impugnada en amparo, supondría un cambio de estado del menor y ocasionaría al demandante perjuicios como consecuencia de la modificación de la situación paterno-filial del actor, que sería inscrito como progenitor del menor con efectos frente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en escrito registrado el 21 de julio de 2004, tras hacer referencia a la excepcionalidad de la medida cautelar de suspensión, se opone a la suspensión solicitada, al no acreditar que la ejecución le ocasione un perjuicio irreparable, sin que pueda considerarse que la falta de suspensión le ocasione un perjuicio que haga perder al amparo su finalidad, ya que consistiendo la ejecución de la Sentencia recurrida en amparo en el establecimiento de una relación paterno-filial, el contenido de esa relación, que se traduce en su reflejo en el Registro Civil y en el ejercicio de derechos y el cumplimiento de obligaciones que constituyen su contenido, admite sin dificultad su restitución al estado anterior al de su ejecución en el caso de que se otorgara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Es el potencial perjudicado quien ha de justificar el riesgo o peligro de perjuicio, pues, aunque la viabilidad de la demanda sirva para apreciar una inicial apariencia de buen derecho de las pretensiones en ella contenidas, también se requiere la justificación de un riesgo o peligro de que, de no acordarse la suspensión de la ejecución de la resolución impugnada en amparo, se ocasionaría al demandante un perjuicio que haría perder al amparo su finalidad. En este sentido, hemos entendido que sólo hay peligro o riesgo de perjuicio irreparable cuando la ejecución prevista del acto recurrido pueda provocar que el posterior y eventual restablecimiento del recurrente en el derecho constitucional vulnerado, en el supuesto de que el amparo sea otorgado, sea tardío e impida definitivamente que tal restauración sea efectiva (AATC 10/2004, de 12 de enero y 36/2004, de 9 de febrero,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ante todo en el juego de los intereses contrapuestos en orden a la inmediata eficacia de la Sentencia recurrida o a su suspensión, ha de tenerse en cuenta que en tal juego el interés del menor debe considerarse preferente, lo que en principio supone que salvo que tal interés deba supeditarse a exigencias de tutela cautelar del demandante que impongan la suspensión, en cuanto a ésta ha de estarse a la aplicación de la doctrina que acaba de exponerse, lo que conduce a la denegación de la suspensión solicitada, pues, siendo excepcional acordar la suspensión en amparo y siendo carga del recurrente acreditar que la ausencia de suspensión privaría de finalidad al amparo conforme a la doctrina antes expresada, en el presente caso el recurrente no ha cumplido con la carga que le corresponde. En efecto, como advierte el Ministerio Fiscal, en este caso no puede considerarse que la falta de suspensión le ocasione un perjuicio que haga perder al amparo su finalidad, ya que al consistir la ejecución de la Sentencia recurrida en amparo en el establecimiento de una relación paterno-filial, con el conjunto de derechos y obligaciones que constituyen su contenido, así como en su reflejo en el Registro Civil, cabe sin dificultad su restitución al estado anterior al de su ejecución en el caso de que se otorgara el amparo mediante la eventual extinción de la relación jurídica declarada y la correspondiente cancelación de los asientos registrales correspondientes, y ello aunque no pueda negarse de principio la eventual proclamación en el interés de perjuicios no patrimoniales de difícil reparación, que, en todo caso, no harían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suspensión solicitada respecto de la ejecución de la sentencia dictada el 20 de septiembre de 2002 por la Sala de lo Civil del Tribunal Supremo en el recurso de casación núm. 506/97.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