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4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24 de junio de 2003 el Procurador de los Tribunales don Javier Lorente Zurdo, en nombre de doña María Isabel Fernández Romero y doña Antonia Fernández Romero, formuló demanda de amparo constitucional contra la Sentencia de 29 de mayo de 2003 dictada por la Audiencia Provincial de Almería (Sección Tercera) en recurso de apelación contra Sentencia dictada por el Juzgado de lo Penal núm. 1 de Almería en fecha 4 de noviembre de 2002 en procedimiento abreviado núm. 388-2003.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El Juzgado de lo Penal núm. 1 de los de Almería dictó Sentencia de fecha 4 de noviembre de 2002 absolviendo a las demandantes de amparo de los delitos de lesiones y contra la Administración pública de que se les acusó, con costas de oficio. El Juzgador consideró que se encontraba ante un caso de versiones contradictorias. Interpuesto recurso de apelación por el Ministerio Fiscal y la acusación particular, esta última parte solicitó en su recurso la práctica de diversas pruebas testificales en la segunda instancia, que fueron rechazadas. Entre estas pruebas no se encontraban el interrogatorio de las acusadas ni la nueva declaración de la acusación particular. La Audiencia Provincial dictó Sentencia, de fecha 29 de mayo de 2003, que condenó a las ahora demandantes como autoras de un delito de lesiones, a la pena de tres meses de multa, indemnización y costas. En la Sentencia se indica que la testifical de la víctima, que se ha mantenido incólume a lo largo del procedimiento, y cuya credibilidad ha sido puesta en tela de juicio por el juzgador debido a la enemistad previa con las acusadas, es considerada sin embargo suficiente por el Tribunal como prueba inculpatoria.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queja sustancial que fundamenta la demanda de amparo se puede sintetizar en la vulneración del derecho fundamental a un proceso con todas las garantías, por cuanto no se reprodujo en la fase de apelación, ante la Audiencia Provincial, la prueba testifical practicada en la vista oral en la primera instancia, de modo que el tribunal valoró esta prueba exclusivamente en función de la referencia que se contiene en el acta del juicio oral, lo que vulneraría los principios de inmediación y contradicción. Por otrosí se solicita la suspensión de la ejecución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julio de 2004, la Sala, tras admitir a trámite el presente recurso de amparo, acordó formar la oportuna pieza para la tramitación del incidente sobre suspensión y, conforme determina el art. 56 de la Ley Orgánica de este Tribunal, conceder un plazo de tres días a la parte recurrente y al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público, mediante escrito registrado el 29 de julio de 2004, tras recoger la doctrina constitucional aplicable al caso razona que, al tratarse de una pena económica fácilmente reparable en el supuesto de estimarse el amparo, no es procedente la suspensión, y ello sin perjuicio de que en el caso de que no fuere abonada la multa impuesta y se declarare de forma subsidiaria el cumplimiento de una responsabilidad personal sustitutoria, deba procederse a la suspensión de tal penal, pues no se aprecia que acceder a la suspensión del período de privación de libertad que correspondiere imponer a tenor del art. 53 CP ocasione una lesión grave y específica del interés general, más allá de aquélla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las demandantes de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  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 Más en concreto, en cuanto a la ejecución de las sentencias penales que condenan al pago de una multa, nuestra doctrina viene señalando (como se recuerda en los AATC 135/1999, de 31 de mayo, FJ 3, 83/2001, de 23 de abril, FJ 2 y 261/2001, de 15 de octubre, FJ 4) que la ejecución del pago de la multa no lleva consigo, como regla, la producción de perjuicios irreparables para el condenado a su cumplimiento, de tal manera que la ejecución de la sentencia firme respecto de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  Tampoco procede, en el momento actual, la suspensión de la responsabilidad personal subsidiaria para el caso de impago de la pena de multa, pues se trata de una eventualidad futura, que de sobrevenir (por falta de abono voluntario o en vía de apremio) podría dar lugar a la modificación de la medida cautelar que ahora se adopta en virtud de lo establecido en el art. 57 LOTC (AATC 107/1998, 136/1999, 227/1999, 245/1999, 61/2000, 41/2002, 362/2003, 409/2003).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dar lugar a la suspensión solicitada respecto de la ejecución de la reseñada Sentencia de 29 de mayo de 2003, de la Sección Tercera de la Audiencia Provincial de Almería.  Notifíquese a la parte recurrente y al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