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5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enero de 2003 tuvo entrada en el Registro General de este Tribunal el escrito de la Sección Octava de la Audiencia Provincial de Madrid al que se acompaña el testimonio de los autos núm. 459-2002, del rollo de apelación núm. 542-2002, y el Auto de 25 de noviembre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el Juzgado de Primera Instancia núm. 36 de Madrid dictó Sentencia de 30 de octubre de 1999 por la que estimaba la demanda interpuesta por don Pedro Fernández de Córdoba Cascales y otros contra doña María Encarnación Fernández de Córdoba y Sánchez y otros y condenaba a los demandados a pagar la suma de 949.652 pesetas. La parte demandada interpuso recurso de apelación contra la citada Sentencia con base en la mencionada ley procesal de 1881, que fue admitido a trámite. La parte apelada se opuso al recurso sin solicitar la ejecución provisional de la sentencia impugnada. Conforme a la antigua legislación procesal civil, si el demandante (parte apelada) no instaba la ejecución provisional en el plazo preclusivo de seis días previsto en el art. 385.IV LEC de 1881 se admitía la apelación en doble efecto, por lo que la sentencia recurrida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los actores solicitaron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30 de mayo de 2002,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Los demandantes que instaron la ejecución provisional recurrieron en apelación la citada resolución desestimatoria. Estando los autos a la espera de resolverse la apelación por la Sección Octava de la Audiencia Provincial de Madrid, ésta dictó providencia de 28 de octubre de 2002 por la que emplazaba a las partes y al Ministerio Fiscal para que informaran acerca de la procedencia de plantear la presente cuestión de inconstitucionalidad. Solamente informaron el Fiscal y los demandados mediante los respectivos escritos de 6 de noviembre y 28 de octubre de 2002, el primero pronunciándose en contra del planteamiento de esta cuestión, por considerarla un problema interpretativo de la legalidad ordinaria, mientras que los segundos a favor del planteamiento de la cuestión por vulnerar la seguridad jurídica.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25 de noviembre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2º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Tercera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30 de julio de 2004 en el que solicitaba la inadmisión de la presente cuestión por concurrir esa causa de inadmisibilidad, en términos semejantes a los expuestos en otros escritos todos ellos relativos al problema suscitado en la presente cuestión de inconstitucionalidad. Además, recuerda que el Auto de este Tribunal de 20 de julio de 2004 ya ha inadmitido la cuestión de inconstitucionalidad núm. 480-2002, “planteada por el mismo órgano judicial y sobre el mismo precepto que la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bien pone de manifiesto el Fiscal General del Estado, la cuestión de inconstitucionalidad planteada por la Sección Octava de la Audiencia Provincial de Madrid respecto del apartado segundo de la disposición transitoria tercera de la Ley</w:t>
      </w:r>
    </w:p>
    <w:p w:rsidRPr="00C21FFE" w:rsidR="00AD51A7" w:rsidRDefault="008777C4">
      <w:pPr>
        <w:rPr/>
      </w:pPr>
      <w:r w:rsidRPr="&lt;w:rPr xmlns:w=&quot;http://schemas.openxmlformats.org/wordprocessingml/2006/main&quot;&gt;&lt;w:lang w:val=&quot;es-ES_tradnl&quot; /&gt;&lt;/w:rPr&gt;">
        <w:rPr/>
        <w:t xml:space="preserve">1/2000, de 7 de enero, de enjuiciamiento civil, por posible vulneración del principio de seguridad jurídica, en su vertiente subjetiva, resulta idéntica a la cuestión de inconstitucionalidad núm. 480-2002, que fue inadmitida a trámite por Auto del Pleno</w:t>
      </w:r>
    </w:p>
    <w:p w:rsidRPr="00C21FFE" w:rsidR="00AD51A7" w:rsidRDefault="008777C4">
      <w:pPr>
        <w:rPr/>
      </w:pPr>
      <w:r w:rsidRPr="&lt;w:rPr xmlns:w=&quot;http://schemas.openxmlformats.org/wordprocessingml/2006/main&quot;&gt;&lt;w:lang w:val=&quot;es-ES_tradnl&quot; /&gt;&lt;/w:rPr&gt;">
        <w:rPr/>
        <w:t xml:space="preserve">de este Tribunal de 20 de julio de 2004. Procede, por tanto, tener por reproducidas en la cuestión que ahora nos ocupa los razonamientos jurídicos contenidos en el mencionado Auto y, en consecuencia, 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