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7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Isabel Cañedo Vega presentó el día 18 de noviembre de 2002 en el Registro de este Tribunal, en nombre y representación de don Francisco Javier Barreto Díaz y doña Purificación Fernández González, recurso de amparo contra la Sentencia dictada por el Juzgado de lo Penal núm.2 de León, de 11 de febrero de 2002, y contra la posterior Sentencia de la Sección Tercera de la Audiencia Provincial de León, de 16 de octubre de 2002, que desestimó el recurso de apelación de los recurrentes en amparo, estimando parcialmente en cambio el formulado por la representación de la querellante, doña Ángela Calle Pardo, al que se había adherido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Los acusados, don Javier Barreto Díaz y doña Purificación Fernández González, en nombre de Comisiones Obreras y del Sindicato de auxiliares de enfermería, respectivamente, remitieron al Director Gerente del Hospital de León del INSALUD un escrito elaborado y firmado por ellos, en el que denunciaban una serie de irregularidades que “al parecer” se estaban cometiendo en el Servicio de Dietética del Hospital en relación con cierto trato de favor, interés particular y trato discriminatorio para con determinados trabajadores. Pedían información sobre la adjudicación de las dietas a la empresa suministradora, así como sobre la financiación de asistencia a cursos y congresos, y denunciaban también el presumible derroche y mala previsión del servicio con relación a las dietas que se compran, afirmando que el servicio funciona con total ausencia de control. De esos hechos e irregularidades hacían responsable a la querellante, supervisora del servicio, doña Angela Calle Pardo, y así en dicho escrito y en referencia a ella manifestaban: “Como usted ya debe saber, pues consta en su poder un escrito presentado por una extrabajadora del Servicio de dietética, la serie de irregularidades y agravios en la organización de este servicio, que su supervisora propicia y permite, nos obliga a creer que estamos ante un caso de negligencia en el desempeño de sus responsabilidades, muy próxima a actitudes casi delictivas. No hace falta recordar, que no sólo el Estatuto del Personal Sanitario al Servicio de la Seguridad Social o las normativas internas de índole organizacional, son los marcos jurídicos presuntamente violados en este caso sino que el propio estatuto de los trabajadores e, incluso, el Código Penal, hace alusiones a aspectos que podemos reconocer en toda esta exposición de hechos. Así, el abuso de poder, el atentado contra la dignidad de los trabajadores/as en un centro de trabajo, la premeditación y el cohecho, la corrupción, el uso o apropiación indebida de fondos públicos, la vulneración de la Ley de contratos para las Administraciones Públicas, la violación de la intimidad de los trabajadores/as a su servicio, o la negligencia por el abandono del puesto de responsabilidad y en el ejercicio de la funciones de los empleados públicos etc. son figuras, presuntamente presentes aquí y de las que inevitablemente se derivaría una responsabilidad civil y penal directa, como presunto delito contra la salud pública en grado de tentativa y, lo que es peor, de la que podría ser subsidiaria la propia Gerencia. En espera de su pronta respuesta a nuestra denuncia, notificándonos la imprescindible apertura de un expediente informativo, previo al disciplinario es lo que nos mueve a dirigirnos a usted antes que a la Subdirección General de Relaciones Laborales, a la Fiscalía o, incluso a los propios medios de comunicación”. </w:t>
      </w:r>
    </w:p>
    <w:p w:rsidRPr="00C21FFE" w:rsidR="00AD51A7" w:rsidRDefault="008777C4">
      <w:pPr>
        <w:rPr/>
      </w:pPr>
      <w:r w:rsidRPr="&lt;w:rPr xmlns:w=&quot;http://schemas.openxmlformats.org/wordprocessingml/2006/main&quot;&gt;&lt;w:lang w:val=&quot;es-ES_tradnl&quot; /&gt;&lt;/w:rPr&gt;">
        <w:rPr/>
        <w:t xml:space="preserve">b) Dicho escrito fue facilitado por los acusados a una periodista del Diario de León, que lo publicó en primera página de su edición de 10 de febrero de 1999 bajo el título “Dos sindicatos denuncian a la dietista del Hospital por cohecho y despilfarro”, ampliando la noticia con el contenido del escrito en la página 5 de dicho diario. </w:t>
      </w:r>
    </w:p>
    <w:p w:rsidRPr="00C21FFE" w:rsidR="00AD51A7" w:rsidRDefault="008777C4">
      <w:pPr>
        <w:rPr/>
      </w:pPr>
      <w:r w:rsidRPr="&lt;w:rPr xmlns:w=&quot;http://schemas.openxmlformats.org/wordprocessingml/2006/main&quot;&gt;&lt;w:lang w:val=&quot;es-ES_tradnl&quot; /&gt;&lt;/w:rPr&gt;">
        <w:rPr/>
        <w:t xml:space="preserve">c) La Gerencia del Hospital, en carta de 22 de marzo de 1999, dirigida personalmente a doña Angela Calle Pardo, manifiesta que, con el fin de dar respuesta al escrito de las Secciones Sindicales, ha solicitado información a los Servicios de Farmacia, Cocina, Dirección de Enfermería y a la propia Unidad de Dietética. De los hechos esclarecidos, continuaba, “no se desprende ninguna irregularidad respecto a la Gestión de Personal, trato humano, derroche de productos, etc, [...] Esta Gerencia conoce perfectamente que usted no participa, ni tiene capacidad de decisión en la adjudicación y adquisición de ningún tipo de suministro para el Hospital y por tanto considera absurdas e inaceptables las imputaciones vertidas por las citadas Secciones Sindicales respecto a los delitos de prevaricación, cohecho, etc.” </w:t>
      </w:r>
    </w:p>
    <w:p w:rsidRPr="00C21FFE" w:rsidR="00AD51A7" w:rsidRDefault="008777C4">
      <w:pPr>
        <w:rPr/>
      </w:pPr>
      <w:r w:rsidRPr="&lt;w:rPr xmlns:w=&quot;http://schemas.openxmlformats.org/wordprocessingml/2006/main&quot;&gt;&lt;w:lang w:val=&quot;es-ES_tradnl&quot; /&gt;&lt;/w:rPr&gt;">
        <w:rPr/>
        <w:t xml:space="preserve">d) Contra los demandantes de amparo, y contra el Diario de León y los Sindicatos CCOO y de auxiliares de enfermería, como responsables civiles subsidiarios, se interpuso querella criminal por supuesto delito de injurias graves. Por Sentencia del Juzgado de lo Penal núm. 2 de León, de 11 de febrero de 2002, los ahora recurrentes fueron condenados como autores de una falta de injurias del art. 620.2 del Código penal, por considerarse que las expresiones utilizadas en el escrito de denuncia que habían presentado ante el Director Gerente del Hospital de León y ante los medios de comunicación excedían los límites de la defensa de los derechos de los trabajadores y el derecho a denunciar las irregularidades en la gestión administrativa de los servicios públicos, ofendiendo a la querellante, atacando su dignidad y menoscabando su fama, estima personal y prestigio, máxime cuando aquellas expresiones no estaban en absoluto constatadas ni se contaba con pruebas medianamente fiables de las que se pudiera deducir su veracidad, siendo objetivamente injuriosas, deshonrosas y de claro desprestigio. </w:t>
      </w:r>
    </w:p>
    <w:p w:rsidRPr="00C21FFE" w:rsidR="00AD51A7" w:rsidRDefault="008777C4">
      <w:pPr>
        <w:rPr/>
      </w:pPr>
      <w:r w:rsidRPr="&lt;w:rPr xmlns:w=&quot;http://schemas.openxmlformats.org/wordprocessingml/2006/main&quot;&gt;&lt;w:lang w:val=&quot;es-ES_tradnl&quot; /&gt;&lt;/w:rPr&gt;">
        <w:rPr/>
        <w:t xml:space="preserve">e) Frente a dicha resolución presentaron sendos recursos de apelación la parte querellante y los ahora recurrentes, que fueron resueltos por Sentencia de la Sección Tercera de la Audiencia Provincial de León, de 16 de octubre de 2002, en el sentido de desestimar el presentado por los demandantes de amparo y de estimar, en cambio, el interpuesto por la querellante –al que se había adherido el Ministerio Fiscal-, siendo en consecuencia condenados aquellos como autores responsables de un delito de injurias a la pena de seis meses de multa, a razón de una cuota diaria de seis euros, con responsabilidad civil subsidiaria por tiempo de tres meses en caso de impago. </w:t>
      </w:r>
    </w:p>
    <w:p w:rsidRPr="00C21FFE" w:rsidR="00AD51A7" w:rsidRDefault="008777C4">
      <w:pPr>
        <w:rPr/>
      </w:pPr>
      <w:r w:rsidRPr="&lt;w:rPr xmlns:w=&quot;http://schemas.openxmlformats.org/wordprocessingml/2006/main&quot;&gt;&lt;w:lang w:val=&quot;es-ES_tradnl&quot; /&gt;&lt;/w:rPr&gt;">
        <w:rPr/>
        <w:t xml:space="preserve">Razona la Audiencia Provincial que ha quedado probado que entregaron el escrito al Gerente del Hospital y a una periodista, conforme a las declaraciones de ésta en todo momento y, en particular, en el acto del juicio, y en atención a lo que el propio escrito remitido al Gerente indicaba -advirtiendo de la posible comunicación de sus contenidos a los medios de comunicación-, así como a la intención que, según el Gerente, le manifestaron los acusados. Afirma, además, que la denuncia se realizó por escrito, y días antes de ser entregada a la periodista, por lo que las manifestaciones realizadas por los ahora recurrentes, lejos de ser espontáneas, se hicieron de forma reflexiva y meditada, por lo que tuvieron que ser conscientes de los perjuicios que podían irrogar atribuyendo a la Supervisora del Servicio unos hechos que, además de resultar inciertos tras las investigaciones efectuadas, entre otras cosas porque de alguno nunca podría ser responsable al no entrar en el ámbito de su cometido, tenían un claro carácter vejatorio y de descrédito, que los autores de la denuncia no podían desconocer. En el supuesto de autos, concluye la sentencia, el contenido de las manifestaciones de descrédito realizadas en la denuncia debe considerarse grave, y su expresión pública constitutiva del delito de injurias tipificado en el art. 209, en relación con el art. 208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arts. 20.1 a) y d) y 25.1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argumenta que el conflicto que en el presente caso se plantea entre el derecho al honor de la querellante y las libertades reconocidas en el art. 20 CE no ha sido objeto de una adecuada valoración por parte de los órganos judiciales de instancia y de apelación, puesto que no se ha respetado la posición constitucional que las citadas libertades ocupan como factores de desarrollo de la opinión pública libre. Tampoco han tenido en cuenta que la denuncia afectaba al funcionamiento irregular de un servicio público esencial para la comunidad, ni que la actuación de los acusados no era a título individual sino en su condición representativa, no teniendo intención alguna de desacreditar u ofender a la persona aludida en la denuncia. La conducta personal de los recurrentes en amparo, por ello, está protegida por el derecho fundamental a la libertad de información, al denunciar irregularidades de manera general y con vaguedad y abstracción en el funcionamiento de un servicio público, y también por el derecho fundamental a la libertad de expresión, puesto que sus opiniones aunque puedan inquietar o disgustar a quien se dirigen, por su forma desabrida, no constituyen un insulto ni una expresión ultrajante dirigida contra una persona concreta e individualizada, puesto que a nadie se ha insultado personal e individualmente. </w:t>
      </w:r>
    </w:p>
    <w:p w:rsidRPr="00C21FFE" w:rsidR="00AD51A7" w:rsidRDefault="008777C4">
      <w:pPr>
        <w:rPr/>
      </w:pPr>
      <w:r w:rsidRPr="&lt;w:rPr xmlns:w=&quot;http://schemas.openxmlformats.org/wordprocessingml/2006/main&quot;&gt;&lt;w:lang w:val=&quot;es-ES_tradnl&quot; /&gt;&lt;/w:rPr&gt;">
        <w:rPr/>
        <w:t xml:space="preserve">Por otra parte, se considera vulnerado el derecho a la legalidad penal por motivo de haberse atribuido responsabilidad penal a quienes, como los recurrentes, no habían confeccionado el escrito supuestamente injurioso. Esto implica una interpretación de la autoría penal imprevisible, conforme a los usos ordinarios, e irreflexiva, y supone por tanto una extensión analógica del supuesto estricto contemplado en el delito penal y de la autoría del delito de injurias. Interpretación que se hace en perjuicio de los recurrentes, vulnerando su derecho fundamental a la tipicidad penal, puesto que la conducta descrita de manera personal y directa en los hechos probados no puede subsumirse en la autoría del delito de injurias, habida cuenta de que, para ello, fue necesario atribuirles hechos que no protagonizaron, al haber sido llevados a cabo por el periódico que publicó el escrito. Se desborda, en suma, el entendimiento de la autoría de un delito y del principio de personalidad de las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11 de marzo de 2004, acordó, de conformidad con lo dispuesto en el art. 50.3 LOTC, conceder a los demandantes de amparo y al Ministerio Fiscal el plazo común de diez días para que formularan las alegaciones que estimasen oportunas en relación a la posible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día 22 de abril de 2004, en escrito en el que consideró que concurría la causa de inadmisión por falta manifiesta de contenido constitucional de la demanda de amparo [art. 50.1 c) LOTC]. Recuerda que ningún derecho fundamental es ilimitado, y que uno de los límites a las libertades de expresión e información es el derecho al honor de las personas, conforme establece el art. 20.4 CE. Vistas las expresiones incluidas en el escrito -especialmente la falta de precisión de unos hechos, determinados como objeto de la denuncia que debía ser investigada, y las calificaciones utilizadas, unido a la consideración, por el Gerente del Hospital, de la falta de cualquier prueba de irregularidades en la gestión encomendada a la querellante, e incluso más bien la imposibilidad de que ésta, en el ejercicio de sus competencias, pudiera tomar determinadas decisiones- la solución adoptada no puede ser más que calificada como acorde con la jurisprudencia constitucional en la materia. </w:t>
      </w:r>
    </w:p>
    <w:p w:rsidRPr="00C21FFE" w:rsidR="00AD51A7" w:rsidRDefault="008777C4">
      <w:pPr>
        <w:rPr/>
      </w:pPr>
      <w:r w:rsidRPr="&lt;w:rPr xmlns:w=&quot;http://schemas.openxmlformats.org/wordprocessingml/2006/main&quot;&gt;&lt;w:lang w:val=&quot;es-ES_tradnl&quot; /&gt;&lt;/w:rPr&gt;">
        <w:rPr/>
        <w:t xml:space="preserve">Considera el Fiscal, en relación con la segunda alegación, que los recurrentes han sido condenados por el contenido estricto del documento que ambos redactaron y remitieron al Gerente del Hospital y al medio periodístico, y no por la información periodística misma. Cualquier otra cuestión, como puede ser la discutida en sede judicial acerca de si los nuevos tipos penales de injurias exigen o no el animus iniuriandi o solamente el dolo derivado de las expresiones con conocimiento de su falsedad o temerario desprecio hacia la verdad, no inciden en el derecho fundamental alegado, sino que constituyen un problema de subsunción de los hechos en la norma y de determinación de los requisitos de ésta, que, en consecuencia, deben ser calificados como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los demandantes se presentaron alegaciones el día 16 de abril de 2004. En ellas se reiteran en esencia los contenidos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análisis de las circunstancias del caso, en relación con la pretendida vulneración del art. 20.1 a) y d) es preciso recordar algunas premisas que tendrán relevancia para la presente resolución. Como se sabe, no resulta constitucionalmente admisible la aplicación de un tipo penal a conductas que constituyan actos de ejercicio de un derecho fundamental. La anterior afirmación no necesita mayor apoyatura en los supuestos de ejercicio legítimo de un derecho fundamental, esto es, cuando la conducta penalmente reprochada se sitúa inequívocamente en el ámbito del contenido del derecho y, además, respeta los límites establecidos para su ejercicio. En tales casos, la conducta no puede ser objeto de sanción penal ni de ningún otro tipo de sanción (STC 185/2003, de 27 de octubre, FJ 5).</w:t>
      </w:r>
    </w:p>
    <w:p w:rsidRPr="00C21FFE" w:rsidR="00AD51A7" w:rsidRDefault="008777C4">
      <w:pPr>
        <w:rPr/>
      </w:pPr>
      <w:r w:rsidRPr="&lt;w:rPr xmlns:w=&quot;http://schemas.openxmlformats.org/wordprocessingml/2006/main&quot;&gt;&lt;w:lang w:val=&quot;es-ES_tradnl&quot; /&gt;&lt;/w:rPr&gt;">
        <w:rPr/>
        <w:t xml:space="preserve">Más allá de lo anterior, teniendo en cuenta los principios de ultima ratio e intervención mínima que han de orientar la intervención penal en un Estado social y democrático de Derecho, como el consagrado por nuestra Constitución, el límite a la posibilidad de intervención penal no puede establecerse sin embargo en función del respeto estricto a los límites del ejercicio del derecho fundamental. En efecto no sería constitucionalmente acogible la aplicación de una sanción penal en aquellos supuestos en que el ejercicio no pueda calificarse de legítimo (por haber incurrido en alguna extralimitación), pero en los que la conducta se enmarque inequívocamente en el ámbito objetivo del ejercicio del derecho fundamental, en el haz de garantías y posibilidades de actuación o resistencia que otorga, en atención al contenido y finalidad del acto enjuiciado y a los medios empleados. En esos supuestos, el exceso puede convertir la conducta en antijurídica (y merecedora, en su caso, de algún tipo de sanción civil, laboral o administrativa, en función del tipo de derecho ejercitado o del ámbito donde se perfeccione), aunque no alcance a legitimar una sanción penal. En efecto, hemos afirmado reiteradamente que la dimensión objetiva de los derechos fundamentales, su carácter de elementos esenciales del Ordenamiento jurídico, impone a los órganos judiciales, al aplicar una norma penal, la obligación de tener presente el contenido constitucional de tales derechos, impidiendo reacciones que, por su severidad, supongan un sacrificio innecesario o desproporcionado de los mismos o tengan un efecto disuasor o desalentador de su ejercicio (SSTC 85/1992, de 8 de junio, FJ 4; 136/1999, de 20 de julio, FJ 20; 110/2000, de 5 de mayo, FJ 5; 2/2001, de 15 de enero, FJ 3 y 196/2002, de 28 de octubre, FJ 6). De otro modo existirían sólo dos terrenos, el de lo constitucionalmente protegido y el de lo punible, lo que no puede admitirse.</w:t>
      </w:r>
    </w:p>
    <w:p w:rsidRPr="00C21FFE" w:rsidR="00AD51A7" w:rsidRDefault="008777C4">
      <w:pPr>
        <w:rPr/>
      </w:pPr>
      <w:r w:rsidRPr="&lt;w:rPr xmlns:w=&quot;http://schemas.openxmlformats.org/wordprocessingml/2006/main&quot;&gt;&lt;w:lang w:val=&quot;es-ES_tradnl&quot; /&gt;&lt;/w:rPr&gt;">
        <w:rPr/>
        <w:t xml:space="preserve">Por ello, como decía nuestra STC 185/2003, antes citada, si los órganos judiciales prescinden de la circunstancia de que está en juego un derecho fundamental e incluyen entre los supuestos sancionables por aplicación de un tipo penal conductas que han de ser calificadas como pertenecientes al ámbito objetivo de ejercicio del mismo, vulneran éste, pues aunque la subsunción de los hechos en la norma fuera posible conforme a su tenor literal, hemos afirmado reiteradamente que «los tipos penales no pueden interpretarse y aplicarse de forma contraria a los derechos fundamentales» (SSTC 111/1993, de 25 de marzo, FFJJ 5 y 6; 137/1997, de 21 de julio, FJ 2; 110/2000, de 5 de mayo, FJ 4; 297/2000, de 11 de diciembre, FJ 4) y que “los hechos probados no pueden ser a un mismo tiempo valorados como actos de ejercicio de un derecho fundamental y como conductas constitutivas de un delito” (STC 2/2001, de 15 de enero, FJ 2).</w:t>
      </w:r>
    </w:p>
    <w:p w:rsidRPr="00C21FFE" w:rsidR="00AD51A7" w:rsidRDefault="008777C4">
      <w:pPr>
        <w:rPr/>
      </w:pPr>
      <w:r w:rsidRPr="&lt;w:rPr xmlns:w=&quot;http://schemas.openxmlformats.org/wordprocessingml/2006/main&quot;&gt;&lt;w:lang w:val=&quot;es-ES_tradnl&quot; /&gt;&lt;/w:rPr&gt;">
        <w:rPr/>
        <w:t xml:space="preserve">En consecuencia, para que el recurso al instrumento penal resulte constitucionalmente lícito es preciso que estemos sólo frente a un aparente ejercicio del derecho fundamental y que la conducta enjuiciada, por su contenido, por la finalidad a la que se orienta o por los medios empleados, lo desnaturaliza situándose objetivamente al margen del contenido propio del mismo y, por ello, en su caso, en el ámbito de lo potencialmente punible (STC 185/2003).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esas bases jurisprudenciales, para abordar correctamente el presente recurso resulta imprescindible realizar una serie de precisiones en relación con los derechos fundamentales en juego y con el objeto de nuestro enjuiciamiento.</w:t>
      </w:r>
    </w:p>
    <w:p w:rsidRPr="00C21FFE" w:rsidR="00AD51A7" w:rsidRDefault="008777C4">
      <w:pPr>
        <w:rPr/>
      </w:pPr>
      <w:r w:rsidRPr="&lt;w:rPr xmlns:w=&quot;http://schemas.openxmlformats.org/wordprocessingml/2006/main&quot;&gt;&lt;w:lang w:val=&quot;es-ES_tradnl&quot; /&gt;&lt;/w:rPr&gt;">
        <w:rPr/>
        <w:t xml:space="preserve">Debe subrayarse de forma destacada que no constituye objeto del recurso, en esta ocasión, si la conducta sancionada puede encuadrarse en el ámbito propio de la libertad sindical informativa (art. 28.1 CE). En efecto, la demanda de amparo, como hicieron en esencia las resoluciones judiciales, no caracteriza autónomamente las quejas en términos sindicales. No nos corresponde analizar, en consecuencia, si la imposición de una sanción penal pudo afectar al ejercicio de la libertad sindical informativa. Y es que, como se sabe, es doctrina reiterada de este Tribunal que ni le corresponde reconstruir de oficio la demanda de amparo, ni suplir las razones de las partes cuando éstas no se aportan en el recurso (por todas, STC 155/1999, de 14 de septiembre, FJ 1).</w:t>
      </w:r>
    </w:p>
    <w:p w:rsidRPr="00C21FFE" w:rsidR="00AD51A7" w:rsidRDefault="008777C4">
      <w:pPr>
        <w:rPr/>
      </w:pPr>
      <w:r w:rsidRPr="&lt;w:rPr xmlns:w=&quot;http://schemas.openxmlformats.org/wordprocessingml/2006/main&quot;&gt;&lt;w:lang w:val=&quot;es-ES_tradnl&quot; /&gt;&lt;/w:rPr&gt;">
        <w:rPr/>
        <w:t xml:space="preserve">Lo que la demanda de amparo denuncia, es que la conducta personal de los recurrentes en amparo está protegida por el derecho fundamental a la libertad de información [art. 20.1 d) CE], al denunciar irregularidades, de manera general y con vaguedad y abstracción, en el funcionamiento de un servicio público, y también por el derecho fundamental a la libertad de expresión [art. 20.1 a) CE], puesto que sus opiniones aunque puedan inquietar o disgustar a quien se dirigen, por su forma desabrida, no constituyen un insulto ni una expresión ultrajante dirigida contra una persona concreta e individualiza, puesto que a nadie se ha insultado personal e individualmente.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delimitado el objeto del presente proceso constitucional, el tema planteado se centra en comprobar si los órganos judiciales, al valorar el escrito en cuestión, llevaron a cabo una interpretación constitucionalmente adecuada de los derechos fundamentales en conflicto, a saber: los invocados del art. 20 CE y el derecho al honor de la querellante (art. 18.1 CE).</w:t>
      </w:r>
    </w:p>
    <w:p w:rsidRPr="00C21FFE" w:rsidR="00AD51A7" w:rsidRDefault="008777C4">
      <w:pPr>
        <w:rPr/>
      </w:pPr>
      <w:r w:rsidRPr="&lt;w:rPr xmlns:w=&quot;http://schemas.openxmlformats.org/wordprocessingml/2006/main&quot;&gt;&lt;w:lang w:val=&quot;es-ES_tradnl&quot; /&gt;&lt;/w:rPr&gt;">
        <w:rPr/>
        <w:t xml:space="preserve">Los reproches de inconstitucionalidad esgrimidos en la demanda de amparo frente a las Sentencias recurridas se fundamentan tanto en la libertad de expresión, consagrada por el art. 20.1 a) CE, como en el derecho a la información reconocido en el apartado 1 d) del mismo artículo; alegación conjunta que nos obliga a dilucidar cuál de los dos derechos o libertades se encuentra afectado en el presente caso.</w:t>
      </w:r>
    </w:p>
    <w:p w:rsidRPr="00C21FFE" w:rsidR="00AD51A7" w:rsidRDefault="008777C4">
      <w:pPr>
        <w:rPr/>
      </w:pPr>
      <w:r w:rsidRPr="&lt;w:rPr xmlns:w=&quot;http://schemas.openxmlformats.org/wordprocessingml/2006/main&quot;&gt;&lt;w:lang w:val=&quot;es-ES_tradnl&quot; /&gt;&lt;/w:rPr&gt;">
        <w:rPr/>
        <w:t xml:space="preserve">Pese a su frecuente imbricación práctica, es sabido que ambos derechos presentan un diferente contenido y también unos diferentes límites y efectos. En el art. 20.1 a) CE, la libertad de expresión tiene por objeto pensamientos, ideas y opiniones, concepto amplio dentro del que deben incluirse también las creencias y los juicios de valor. El derecho a comunicar y recibir libremente información del art. 20.1 d) CE versa, en cambio, sobre hechos o, tal vez más restringidamente, sobre aquellos hechos que pueden considerarse noticiables y de interés general (STC 57/1999, de 12 de abril, FJ 7). Es cierto que, en los casos reales, no siempre es fácil separar la expresión de pensamientos, ideas y opiniones de la estricta comunicación informativa, pues la expresión de pensamientos necesita a menudo apoyarse en la narración de hechos y, a la inversa, la comunicación de hechos o de noticias no se da nunca en estado puro y comprende, casi siempre, algún elemento valorativo o, dicho de otro modo, buscan formar una opinión (STC 6/1988, de 21 de enero, FJ 5). Por ello, en los supuestos en que pueden aparecer entremezclados elementos de una y otra significación, ha de recurrirse, para su calificación y encaje en cada uno de los apartados del art.  20 CE, al elemento que en ellos aparezca como preponderante.</w:t>
      </w:r>
    </w:p>
    <w:p w:rsidRPr="00C21FFE" w:rsidR="00AD51A7" w:rsidRDefault="008777C4">
      <w:pPr>
        <w:rPr/>
      </w:pPr>
      <w:r w:rsidRPr="&lt;w:rPr xmlns:w=&quot;http://schemas.openxmlformats.org/wordprocessingml/2006/main&quot;&gt;&lt;w:lang w:val=&quot;es-ES_tradnl&quot; /&gt;&lt;/w:rPr&gt;">
        <w:rPr/>
        <w:t xml:space="preserve">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naturaleza abstracta, no se prestan a una demostración de exactitud (STC 107/1988, de 8 de junio, FJ 2) y ello hace que al que ejercita la libertad de expresión no le sea exigible la prueba de la verdad (SSTC 4/1996, de 16 de enero, FJ 3, y 144/1998, de 30 de junio, FJ 2) o la diligencia en su averiguación (STC 223/1992, de 14 de diciembre, FJ 2), que condicionan, sin embargo, la legitimidad del derecho de información por expreso mandato constitucional, que ha añadido al término “información” del art. 20.1 d) CE el adjetivo “veraz”.</w:t>
      </w:r>
    </w:p>
    <w:p w:rsidRPr="00C21FFE" w:rsidR="00AD51A7" w:rsidRDefault="008777C4">
      <w:pPr>
        <w:rPr/>
      </w:pPr>
      <w:r w:rsidRPr="&lt;w:rPr xmlns:w=&quot;http://schemas.openxmlformats.org/wordprocessingml/2006/main&quot;&gt;&lt;w:lang w:val=&quot;es-ES_tradnl&quot; /&gt;&lt;/w:rPr&gt;">
        <w:rPr/>
        <w:t xml:space="preserve">La comunicación informativa a que se refiere el apartado d) del art. 20.1 de la Constitución, por tanto, versa sobre hechos (STEDH de 8 de julio de 1986, Lingens, núm. 46) y sobre hechos, específicamente, “que pueden encerrar trascendencia pública» a efectos de que «sea real la participación de los ciudadanos en la vida colectiva”, de tal forma que de la libertad de información -y del correlativo derecho a recibirla- “es sujeto primario la colectividad y cada uno de sus miembros, cuyo interés es el soporte final de este derecho” (STC 105/1983, de 23 de noviembre, FJ 11).</w:t>
      </w:r>
    </w:p>
    <w:p w:rsidRPr="00C21FFE" w:rsidR="00AD51A7" w:rsidRDefault="008777C4">
      <w:pPr>
        <w:rPr/>
      </w:pPr>
      <w:r w:rsidRPr="&lt;w:rPr xmlns:w=&quot;http://schemas.openxmlformats.org/wordprocessingml/2006/main&quot;&gt;&lt;w:lang w:val=&quot;es-ES_tradnl&quot; /&gt;&lt;/w:rPr&gt;">
        <w:rPr/>
        <w:t xml:space="preserve">En virtud de esta jurisprudencia consolidada, podría concluirse que lo expresado en su día por los recurrentes en amparo poseía los rasgos que permiten definir su comportamiento como ejercicio de la libertad de información al que se refiere el art. 20.1 d) CE. Los contenidos del escrito se formularon y se entendieron por los receptores como relativos a «hechos». El que algunas de las manifestaciones vertidas en torno a tales hechos entrañaran juicios de valor no es suficiente en este caso para relativizar el carácter preponderante del elemento informativo (SSTC 6/1988, de 21 de enero, FJ 5, y 57/1999, de 12 de abril, FJ 7).</w:t>
      </w:r>
    </w:p>
    <w:p w:rsidRPr="00C21FFE" w:rsidR="00AD51A7" w:rsidRDefault="008777C4">
      <w:pPr>
        <w:rPr/>
      </w:pPr>
      <w:r w:rsidRPr="&lt;w:rPr xmlns:w=&quot;http://schemas.openxmlformats.org/wordprocessingml/2006/main&quot;&gt;&lt;w:lang w:val=&quot;es-ES_tradnl&quot; /&gt;&lt;/w:rPr&gt;">
        <w:rPr/>
        <w:t xml:space="preserve">Esa conclusión se acentúa si observamos que, a primera vista, la información transmitida poseía trascendencia bastante para poder ser calificado lo en ella expuesto como “noticiable” o “noticioso” (STC 105/1983, de 23 de noviembre, FJ 11), cuya relevancia permitía considerarla susceptible de difusión, para conocimiento y formación de la opinión pública, al alertar a los ciudadanos de posibles delitos cometidos con ocasión de la gestión en un Hospital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Bajo esas circunstancias, las resoluciones aquí impugnadas concluyen que los recurrentes cometieron un exceso ya que quedó probada la falsedad de las hechos que se denunciaban, que además de resultar inciertos tras las investigaciones efectuadas, en alguno de los casos ni siquiera podrían haber sido cometidos por la querellante, al no entrar en el ámbito de sus cometidos. Añadía el órgano de instancia que la denuncia no estaba en absoluto constatada ni se contaba con pruebas medianamente fiables de las que se pudiera deducir su veracidad. En definitiva, para los órganos judiciales, atendidas las particulares circunstancias del caso y ponderados los derechos e intereses en presencia, los recurrentes no podían ampararse bajo la cobertura brindada por el art. 20 CE.</w:t>
      </w:r>
    </w:p>
    <w:p w:rsidRPr="00C21FFE" w:rsidR="00AD51A7" w:rsidRDefault="008777C4">
      <w:pPr>
        <w:rPr/>
      </w:pPr>
      <w:r w:rsidRPr="&lt;w:rPr xmlns:w=&quot;http://schemas.openxmlformats.org/wordprocessingml/2006/main&quot;&gt;&lt;w:lang w:val=&quot;es-ES_tradnl&quot; /&gt;&lt;/w:rPr&gt;">
        <w:rPr/>
        <w:t xml:space="preserve">Pues bien, la ponderación de los órganos judiciales, que les condujo finalmente a subsumir la conducta en el delito de injurias tipificado en el art. 209 CP, no merece reproche alguno desde la perspectiva del art. 20 CE.</w:t>
      </w:r>
    </w:p>
    <w:p w:rsidRPr="00C21FFE" w:rsidR="00AD51A7" w:rsidRDefault="008777C4">
      <w:pPr>
        <w:rPr/>
      </w:pPr>
      <w:r w:rsidRPr="&lt;w:rPr xmlns:w=&quot;http://schemas.openxmlformats.org/wordprocessingml/2006/main&quot;&gt;&lt;w:lang w:val=&quot;es-ES_tradnl&quot; /&gt;&lt;/w:rPr&gt;">
        <w:rPr/>
        <w:t xml:space="preserve">Es así, en primer lugar, porque los Tribunales no se han basado exclusivamente en un entendimiento de la veracidad informativa que equipare este concepto con la verdad probada o procesal, es decir, la alcanzada conclusiva o finalmente en el proceso, sino, además, en la exigencia de veracidad, destacada en la doctrina de este Tribunal (entre otras, STC 154/1999, de 14 de septiembre), ya que la actuación de los recurrentes no respondió a una conducta diligente ni atenta a datos objetivos procedentes de fuentes serias y fiables, ya que la denuncia, como afirman los órganos judiciales, no estaba en absoluto contrastada ni se contaba con pruebas medianamente fiables de las que se pudiera deducir su veracidad.</w:t>
      </w:r>
    </w:p>
    <w:p w:rsidRPr="00C21FFE" w:rsidR="00AD51A7" w:rsidRDefault="008777C4">
      <w:pPr>
        <w:rPr/>
      </w:pPr>
      <w:r w:rsidRPr="&lt;w:rPr xmlns:w=&quot;http://schemas.openxmlformats.org/wordprocessingml/2006/main&quot;&gt;&lt;w:lang w:val=&quot;es-ES_tradnl&quot; /&gt;&lt;/w:rPr&gt;">
        <w:rPr/>
        <w:t xml:space="preserve">También, en segundo lugar, de acuerdo con lo avanzado en el primer Fundamento de esta resolución, es decir, teniendo en cuenta los principios de ultima ratio e intervención mínima que han de orientar la intervención penal, hay que admitir que la conducta enjuiciada resultó por completo ajena al ámbito objetivo propio del ejercicio del derecho fundamental, en atención a su contenido y finalidad y a los medios empleados. Si no hubiera sido así la sanción penal habría supuesto una reacción que, por su severidad, constituiría un sacrificio innecesario o desproporcionado del derecho fundamental.</w:t>
      </w:r>
    </w:p>
    <w:p w:rsidRPr="00C21FFE" w:rsidR="00AD51A7" w:rsidRDefault="008777C4">
      <w:pPr>
        <w:rPr/>
      </w:pPr>
      <w:r w:rsidRPr="&lt;w:rPr xmlns:w=&quot;http://schemas.openxmlformats.org/wordprocessingml/2006/main&quot;&gt;&lt;w:lang w:val=&quot;es-ES_tradnl&quot; /&gt;&lt;/w:rPr&gt;">
        <w:rPr/>
        <w:t xml:space="preserve">En efecto en el caso no estamos frente a una información inexacta o controvertible, que incurra en errores circunstanciales que no afecten a la esencia de lo informado, ni siquiera ante una actuación que pueda calificarse como no suficientemente diligente en su averiguación. Estamos, por el contrario, en un supuesto caracterizado por la falta absoluta de diligencia en la averiguación y la carencia completa de fuentes, lo que implica la transmisión como hechos verdaderos de simples rumores en perjuicio del prestigio personal y profesional de la querellante. Así se desprende de las resoluciones judiciales, que se apoyan, no sólo en la inexistencia de fuentes serias y fiables, sino, lo que es aún más significativo, en que en el escrito considerado se imputaban a la querellante hechos que objetivamente, no podía haber cometido, al no entrar dentro del ámbito de sus funciones.</w:t>
      </w:r>
    </w:p>
    <w:p w:rsidRPr="00C21FFE" w:rsidR="00AD51A7" w:rsidRDefault="008777C4">
      <w:pPr>
        <w:rPr/>
      </w:pPr>
      <w:r w:rsidRPr="&lt;w:rPr xmlns:w=&quot;http://schemas.openxmlformats.org/wordprocessingml/2006/main&quot;&gt;&lt;w:lang w:val=&quot;es-ES_tradnl&quot; /&gt;&lt;/w:rPr&gt;">
        <w:rPr/>
        <w:t xml:space="preserve">Esas razones, en suma, no sólo excluyen el ejercicio legítimo del derecho fundamental sino que revelan la desnaturalización del ejercicio de la libertad de información, desvinculando la conducta del ámbito de su contenido propio, su función o finalidad específica y de los medios necesarios para la formación de la opinión pública libre dejando abierta la vía, ahora sí, para la eventual imposición de una sanción penal, sí concurrieran los elementos del tipo delictivo, según apreciaron las Sentencias impugnadas.</w:t>
      </w:r>
    </w:p>
    <w:p w:rsidRPr="00C21FFE" w:rsidR="00AD51A7" w:rsidRDefault="008777C4">
      <w:pPr>
        <w:rPr/>
      </w:pPr>
      <w:r w:rsidRPr="&lt;w:rPr xmlns:w=&quot;http://schemas.openxmlformats.org/wordprocessingml/2006/main&quot;&gt;&lt;w:lang w:val=&quot;es-ES_tradnl&quot; /&gt;&lt;/w:rPr&gt;">
        <w:rPr/>
        <w:t xml:space="preserve">6. Resta el análisis de la última queja, por supuesta vulneración del art. 25.1 CE.</w:t>
      </w:r>
    </w:p>
    <w:p w:rsidRPr="00C21FFE" w:rsidR="00AD51A7" w:rsidRDefault="008777C4">
      <w:pPr>
        <w:rPr/>
      </w:pPr>
      <w:r w:rsidRPr="&lt;w:rPr xmlns:w=&quot;http://schemas.openxmlformats.org/wordprocessingml/2006/main&quot;&gt;&lt;w:lang w:val=&quot;es-ES_tradnl&quot; /&gt;&lt;/w:rPr&gt;">
        <w:rPr/>
        <w:t xml:space="preserve">Precisando nuestro canon de control de constitucionalidad, en este extremo, cabe hablar de aplicación analógica o extensiva in malam partem, vulneradora del principio de legalidad penal,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(por todas, SSTC 137/1997, de 21 de julio, FJ 7; 56/1998, de 16 de marzo, FJ 8; 25/1999, de 8 de marzo, FJ 3; 278/2000, de 27 de noviembre, FJ 11).</w:t>
      </w:r>
    </w:p>
    <w:p w:rsidRPr="00C21FFE" w:rsidR="00AD51A7" w:rsidRDefault="008777C4">
      <w:pPr>
        <w:rPr/>
      </w:pPr>
      <w:r w:rsidRPr="&lt;w:rPr xmlns:w=&quot;http://schemas.openxmlformats.org/wordprocessingml/2006/main&quot;&gt;&lt;w:lang w:val=&quot;es-ES_tradnl&quot; /&gt;&lt;/w:rPr&gt;">
        <w:rPr/>
        <w:t xml:space="preserve">Pues bien, la demanda considera vulnerado el derecho a la legalidad penal por motivo de haberse atribuido responsabilidad penal a quienes, como los recurrentes, no habían confeccionado el escrito supuestamente injurioso. Ello implica, en su opinión, una interpretación de la autoría penal imprevisible, conforme a los usos ordinarios, e irreflexiva, y supone por tanto una extensión analógica del supuesto estricto contemplado en el delito penal y de la autoría del delito de injurias, puesto que la conducta descrita de manera personal y directa en los hechos probados no puede subsumirse en la autoría del delito de injurias, para lo que fue necesario atribuirles hechos que no protagonizaron, al haber sido llevados a cabo por el periódico que publicó el escrito.</w:t>
      </w:r>
    </w:p>
    <w:p w:rsidRPr="00C21FFE" w:rsidR="00AD51A7" w:rsidRDefault="008777C4">
      <w:pPr>
        <w:rPr/>
      </w:pPr>
      <w:r w:rsidRPr="&lt;w:rPr xmlns:w=&quot;http://schemas.openxmlformats.org/wordprocessingml/2006/main&quot;&gt;&lt;w:lang w:val=&quot;es-ES_tradnl&quot; /&gt;&lt;/w:rPr&gt;">
        <w:rPr/>
        <w:t xml:space="preserve">Sin embargo, como dice el Fiscal, los recurrentes han sido condenados por el contenido estricto del documento que ambos redactaron y remitieron al Gerente del Hospital y al medio periodístico, y no por la información periodística misma. Esto sentado, el reproche que se articula contra la subsunción efectuada por la Audiencia Provincial carece de todo fundamento desde la perspectiva del art. 25.1 CE, pues no puede afirmarse, en atención a los términos estrictos de la queja y las razones que la sustentan, que por esos motivos la interpretación judicial del precepto aplicado, a la vista de su tenor literal, resulte imprevisible para los destinatarios.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