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416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3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19 de mayo de 1995, el Letrado de la Generalidad de Cataluña, en la representación que legalmente ostenta, interpone conflicto positivo de competencia en relación con la disposición final primera del Real Decreto 2487/1994, de 23 de diciembre, por el que se aprueba el Estatuto regulador de las actividades de distribución al por mayor y de distribución al por menor mediante suministros directos e instalaciones fijas de carburantes y combustibles petrolíferos. </w:t>
      </w:r>
    </w:p>
    <w:p w:rsidRPr="00C21FFE" w:rsidR="00AD51A7" w:rsidRDefault="008777C4">
      <w:pPr>
        <w:rPr/>
      </w:pPr>
      <w:r w:rsidRPr="&lt;w:rPr xmlns:w=&quot;http://schemas.openxmlformats.org/wordprocessingml/2006/main&quot;&gt;&lt;w:lang w:val=&quot;es-ES_tradnl&quot; /&gt;&lt;/w:rPr&gt;">
        <w:rPr/>
        <w:t xml:space="preserve">Admitido a trámite el conflicto por providencia de la Sección Tercera de 20 de junio de 1995, el Abogado del Estado formuló alegaciones mediante escrito registrado el día 4 de julio de 1995, suplicando que se dictara Sentencia en la que se desestime el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 de septiembre de 2004, el Letrado de la Generalidad de Cataluña presentó en este Tribunal un escrito en el que expuso que, debidamente autorizado en virtud de acuerdo del Consejo de Gobierno de la Generalidad de 24 de agosto de 2004, solicitaba, al amparo de lo establecido en el art. 86 LOTC en conexión con el art. 80 de la misma Ley, tener por desistido al Consejo de Gobierno de la Generalidad de Cataluña en 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21 de septiembre de 2004, la Sección Segunda acordó incorporar a los autos el escrito del Letrado de la Generalidad de Cataluña y oír al Abogado del Estado para que, en el plazo de diez días, exponga lo que considere procedente sobre el desistimiento efectuado por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5 de octubre de 2004, el Abogado del Estado dirigió un escrito al Tribunal en el que manifiesta que nada tiene que oponer al desistimiento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237/1992, de 15 de diciembre; AATC 33/1993, de 26 de enero;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sin partes del proceso hasta su finalización por Sentencia (AATC, por todos, 33/1993, de 26 de enero; 173/1997, de 20 de mayo; 278/2001, de 30 de octubre; 129/2002, de 16 de julio; y 43/2004,</w:t>
      </w:r>
    </w:p>
    <w:p w:rsidRPr="00C21FFE" w:rsidR="00AD51A7" w:rsidRDefault="008777C4">
      <w:pPr>
        <w:rPr/>
      </w:pPr>
      <w:r w:rsidRPr="&lt;w:rPr xmlns:w=&quot;http://schemas.openxmlformats.org/wordprocessingml/2006/main&quot;&gt;&lt;w:lang w:val=&quot;es-ES_tradnl&quot; /&gt;&lt;/w:rPr&gt;">
        <w:rPr/>
        <w:t xml:space="preserve">de 10 de febrero).</w:t>
      </w:r>
    </w:p>
    <w:p w:rsidRPr="00C21FFE" w:rsidR="00AD51A7" w:rsidRDefault="008777C4">
      <w:pPr>
        <w:rPr/>
      </w:pPr>
      <w:r w:rsidRPr="&lt;w:rPr xmlns:w=&quot;http://schemas.openxmlformats.org/wordprocessingml/2006/main&quot;&gt;&lt;w:lang w:val=&quot;es-ES_tradnl&quot; /&gt;&lt;/w:rPr&gt;">
        <w:rPr/>
        <w:t xml:space="preserve">El Letrado de la Generalidad de Cataluña, debidamente autorizado, según certificación del Acuerdo adoptado al efecto por el Consejo de Gobierno de aquélla, pide que se le tenga por desistido del presente conflicto positivo de competencia. El Abogado del Estado no plantea objeción alguna al desistimiento formulado,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Letrado de la Generalidad de Cataluña en la representación que legalmente ostenta, del conflicto positivo de competencia núm. 1798-1995, planteado en relación con la disposición final primera del Real Decreto 2487/1994, de 23 de</w:t>
      </w:r>
    </w:p>
    <w:p w:rsidRPr="" w:rsidR="00AD51A7" w:rsidRDefault="008777C4">
      <w:pPr>
        <w:rPr/>
      </w:pPr>
      <w:r w:rsidRPr="&lt;w:rPr xmlns:w=&quot;http://schemas.openxmlformats.org/wordprocessingml/2006/main&quot;&gt;&lt;w:szCs w:val=&quot;24&quot; /&gt;&lt;/w:rPr&gt;">
        <w:rPr/>
        <w:t xml:space="preserve">diciembre, por el que se aprueba el Estatuto regulador de las actividades de distribución al por mayor y de distribución al por menor mediante suministros directos e instalaciones fijas de carburantes y combustibles petrolíferos, declarándose extinguido</w:t>
      </w:r>
    </w:p>
    <w:p w:rsidRPr="" w:rsidR="00AD51A7" w:rsidRDefault="008777C4">
      <w:pPr>
        <w:rPr/>
      </w:pPr>
      <w:r w:rsidRPr="&lt;w:rPr xmlns:w=&quot;http://schemas.openxmlformats.org/wordprocessingml/2006/main&quot;&gt;&lt;w:szCs w:val=&quot;24&quot; /&gt;&lt;/w:rPr&gt;">
        <w:rPr/>
        <w:t xml:space="preserve">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