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marzo de 2001 el Letrado de la Generalidad de Cataluña, en la representación que legalmente ostenta, promueve conflicto positivo de competencia contra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Cuarta, de 3 de abril de 2001, el Abogado del Estado formula alegaciones mediante escrito registrado el día 4 de mayo de 2001, suplicando que se dicte Sentencia en la que se desestime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22 de marzo de 2001 el Letrado de la Junta de Andalucía, en la representación que ostenta, formaliza conflicto positivo de competencia frente al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w:t>
      </w:r>
    </w:p>
    <w:p w:rsidRPr="00C21FFE" w:rsidR="00AD51A7" w:rsidRDefault="008777C4">
      <w:pPr>
        <w:rPr/>
      </w:pPr>
      <w:r w:rsidRPr="&lt;w:rPr xmlns:w=&quot;http://schemas.openxmlformats.org/wordprocessingml/2006/main&quot;&gt;&lt;w:lang w:val=&quot;es-ES_tradnl&quot; /&gt;&lt;/w:rPr&gt;">
        <w:rPr/>
        <w:t xml:space="preserve">Este conflicto es admitido a trámite, con el núm. 1641-2001, por providencia de la Sección Primera, de 3 de abril de 2001, y se acumula al núm. 1637-2001 por Auto de 10 de diciembre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 de septiembre de 2004 el Letrado de la Generalidad de Cataluña presenta en este Tribunal un escrito en el que expone que, debidamente autorizado en virtud de acuerdo del Consejo de Gobierno de la Generalidad de 24 de agosto de 2004, solicita, al amparo de lo establecido en el art. 86 LOTC, en conexión con el art. 80 de la misma Ley, tener por desistido al Consejo de Gobierno la Generalidad de Cataluña en el conflicto positivo de competencia núm. 1637-2001.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septiembre de 2004 la Sección Tercera acuerda incorporar a los autos el escrito del Letrado de la Generalidad de Cataluña y oír al Abogado del Estado y a la representación procesal de la Junta de Andalucía para que, en el plazo de diez días, expongan lo que consideren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octubre de 2004 el Abogado del Estado dirige un escrito al Tribunal en el que manifiesta que nada tiene que oponer al desistimiento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octubre de 2004 la Letrada de la Junta de Andalucía comunica al Tribunal que no se opone a lo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Letrado de la Generalidad de Cataluña, debidamente autorizado, según certificación del Acuerdo adoptado al efecto por el Consejo de Gobierno de aquélla, interesa que se le tenga por desistido del presente conflicto positivo de competencia. El Abogado del Estado no plantea objeción alguna al desistimiento formulado, ni tampoco lo hace la Letrada de la Junta de Andalucía, sin que se advierta interés constitucional alguno que aconseje la prosecución del procedimiento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Generalidad de Cataluña, en la representación que legalmente ostenta, del conflicto positivo de competencia núm. 1637-2001, planteado en relación con el Real Decreto 1909/2000, de 24 de noviembre, por el que se fija</w:t>
      </w:r>
    </w:p>
    <w:p w:rsidRPr="" w:rsidR="00AD51A7" w:rsidRDefault="008777C4">
      <w:pPr>
        <w:rPr/>
      </w:pPr>
      <w:r w:rsidRPr="&lt;w:rPr xmlns:w=&quot;http://schemas.openxmlformats.org/wordprocessingml/2006/main&quot;&gt;&lt;w:szCs w:val=&quot;24&quot; /&gt;&lt;/w:rPr&gt;">
        <w:rPr/>
        <w:t xml:space="preserve">el complemento de destino de los funcionarios de los Cuerpos de Médicos Forenses, Técnicos Facultativos del Instituto de Toxicología, Oficiales, Auxiliares y Agentes de la Administración de Justicia, Técnicos Especialistas, Auxiliares de Laboratorio del</w:t>
      </w:r>
    </w:p>
    <w:p w:rsidRPr="" w:rsidR="00AD51A7" w:rsidRDefault="008777C4">
      <w:pPr>
        <w:rPr/>
      </w:pPr>
      <w:r w:rsidRPr="&lt;w:rPr xmlns:w=&quot;http://schemas.openxmlformats.org/wordprocessingml/2006/main&quot;&gt;&lt;w:szCs w:val=&quot;24&quot; /&gt;&lt;/w:rPr&gt;">
        <w:rPr/>
        <w:t xml:space="preserve">Instituto de Toxicología y Agentes de Laboratorio, subsistiendo el proceso respecto del conflicto positivo de competencia núm. 1641-2001, planteado por la Junta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