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la Sentencia de la Sala de lo Contencioso-Administrativo del Tribunal Supremo recaída en recurso de casación de 11 de mayo de 2004. </w:t>
      </w:r>
    </w:p>
    <w:p w:rsidRPr="00C21FFE" w:rsidR="00AD51A7" w:rsidRDefault="008777C4">
      <w:pPr>
        <w:rPr/>
      </w:pPr>
      <w:r w:rsidRPr="&lt;w:rPr xmlns:w=&quot;http://schemas.openxmlformats.org/wordprocessingml/2006/main&quot;&gt;&lt;w:lang w:val=&quot;es-ES_tradnl&quot; /&gt;&lt;/w:rPr&gt;">
        <w:rPr/>
        <w:t xml:space="preserve">Mediante escrito fechado el 16 de noviembre de 2004 los Excmos. Sres. Magistrados don Pascual Sala Sánchez y don Ramón Rodríguez Arribas comunicaron a los efectos oportunos que se abstenían de intervenir en el antes indicado recurso de amparo, de conformidad con el art. 219.11 LOPJ, por haber resuelto la causa en la anterior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y por don Ramón Rodríguez Arribas, Magistrados de esta Sala Segunda del Tribunal Constitucional, la Sala, en virtud de lo previsto en los arts. 80 LOTC y 221.4 LOPJ, estima justificada</w:t>
      </w:r>
    </w:p>
    <w:p w:rsidRPr="00C21FFE" w:rsidR="00AD51A7" w:rsidRDefault="008777C4">
      <w:pPr>
        <w:rPr/>
      </w:pPr>
      <w:r w:rsidRPr="&lt;w:rPr xmlns:w=&quot;http://schemas.openxmlformats.org/wordprocessingml/2006/main&quot;&gt;&lt;w:lang w:val=&quot;es-ES_tradnl&quot; /&gt;&lt;/w:rPr&gt;">
        <w:rPr/>
        <w:t xml:space="preserve">la causa de abstención formulada, puesto que los mencionados Magistrados han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los Excmos. Sres. Sala Sánchez y Rodríguez Arribas en el recurso de amparo con número de registro 5665-2004, apartándoles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