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21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abril de 2004, tuvo entrada en este Tribunal un escrito de la Letrada de la Junta de Andalucía, mediante el cual, en la representación que ostenta, planteó conflicto positivo de competencia frente a la disposición adicional quinta del Real Decreto 176/2004, de 30 de enero, por el que se aprueba el Estatuto del Centro Nacional de Trasplantes y Medicina Regenerativa y contra los arts. 5 b), 1, 2, 4 y 5 y 12.2 del referido Estatuto.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Primera de 5 de octubre de 2004, el Abogado del Estado mediante escrito de 21 de octubre de 2004 solicitó una prórroga del plazo concedido para formular sus alegaciones, prórroga que le fue concedida por providencia de la Sección Primera de 27 de octubre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22 de noviembre de 2004, la Letrada de la Junta de Andalucía presentó en este Tribunal un escrito en el que expuso que, debidamente autorizada en virtud de acuerdo del Consejo de Gobierno de 16 de noviembre de 2004, solicitaba, al amparo de lo establecido en el art. 86 LOTC en conexión con el art. 80 de la misma Ley, tener por desistido al Consejo de Gobierno de la Junta de Andalucía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24 de noviembre de 2004, el Abogado del Estado dirigió un escrito al Tribunal en el que manifiesta que por Real Decreto 2132/2004, de 29 de octubre, se ha derogado la disposición adicional quinta y los párrafos 1, 2, 4 y 5 del art. 5.b) del Estatuto del Centro Nacional de Trasplantes y Medicina Regenerativa, aprobado por Real Decreto 76/2004, preceptos que eran el objeto del conflicto planteado. También señala que la Abogacía del Estado ha tenido conocimiento de que la Junta de Andalucía ha acordado el desistimiento del referido conflicto, lo que hace innecesario formular alegaciones. De acuerdo con todo ello, solicita del Tribunal el archivo del expediente.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un interés constitucional que justifique la prosecución sin partes del proceso hasta su finalización por Sentencia (AATC, por todos, 33/1993, de 26 de enero; 173/1997, de 20 de mayo; 278/2001, de 30 de octubre; 129/2002, de 16 de julio; y</w:t>
      </w:r>
    </w:p>
    <w:p w:rsidRPr="00C21FFE" w:rsidR="00AD51A7" w:rsidRDefault="008777C4">
      <w:pPr>
        <w:rPr/>
      </w:pPr>
      <w:r w:rsidRPr="&lt;w:rPr xmlns:w=&quot;http://schemas.openxmlformats.org/wordprocessingml/2006/main&quot;&gt;&lt;w:lang w:val=&quot;es-ES_tradnl&quot; /&gt;&lt;/w:rPr&gt;">
        <w:rPr/>
        <w:t xml:space="preserve">43/2004, de 10 de febrero).</w:t>
      </w:r>
    </w:p>
    <w:p w:rsidRPr="00C21FFE" w:rsidR="00AD51A7" w:rsidRDefault="008777C4">
      <w:pPr>
        <w:rPr/>
      </w:pPr>
      <w:r w:rsidRPr="&lt;w:rPr xmlns:w=&quot;http://schemas.openxmlformats.org/wordprocessingml/2006/main&quot;&gt;&lt;w:lang w:val=&quot;es-ES_tradnl&quot; /&gt;&lt;/w:rPr&gt;">
        <w:rPr/>
        <w:t xml:space="preserve">La Letrada de la Junta de Andalucía, debidamente autorizada, según certificación del Acuerdo adoptado al efecto por el Consejo de Gobierno, pide que se la tenga por desistida del presente conflicto positivo de competencia. El Abogado del Estado pide que se archive el expediente,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Letrada de la Junta de Andalucía, en la representación que legalmente ostenta, del conflicto positivo de competencia núm. 2587-2004, planteado sobre la disposición adicional quinta del Real Decreto 176/2004, de 30 de enero, por</w:t>
      </w:r>
    </w:p>
    <w:p w:rsidRPr="" w:rsidR="00AD51A7" w:rsidRDefault="008777C4">
      <w:pPr>
        <w:rPr/>
      </w:pPr>
      <w:r w:rsidRPr="&lt;w:rPr xmlns:w=&quot;http://schemas.openxmlformats.org/wordprocessingml/2006/main&quot;&gt;&lt;w:szCs w:val=&quot;24&quot; /&gt;&lt;/w:rPr&gt;">
        <w:rPr/>
        <w:t xml:space="preserve">el que se aprueba el Estatuto del Centro Nacional de Trasplantes y Medicina Regenerativa y contra los arts. 5 b), 1, 2, 4 y 5 y 12.2 del referido Estatuto,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