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17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febrero de 2003 tuvo entrada en el Registro del Tribunal escrito presentado por don Josep Gómez Egea que actuaba representado por el Procurador de los Tribunales don Tomás Alonso Ballesteros, por el que interponía recurso de amparo contra la Sentencia dictada por la Audiencia Provincial de Girona en el rollo de apelación 831-2002, en la que se condenó a don Josep Gómez Egea como autor de un delito de violencia psíquica habitual del artículo 157 del Código penal en concurso con un delito de amenazas del artículo 169.2 del mismo Código a la pena de dos años de prisión, con responsabilidad civil, a satisfacer a la denunciante, por importe de 6000 euros, además de la prohibición de que se aproxime y comunique por cualquier medio con Anna María Masó Arté y las dos hijas de ésta durante tres años, Sentencia en la que se revocaba la Sentencia absolutoria del Juzgado de lo Penal 3 de Girona en la causa penal 289-2001. Asimismo, mediante Otrosí, solicitaba la suspensión cautelar de la ejecución de la Sentencia, por entender que en caso contrario podría perder su finalidad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dictada el día 18 de noviembre de 2003 acordó la Sala Segunda de este Tribunal, de conformidad con el núm. 3 del art. 50 LOTC, conceder al demandante de amparo y al Ministerio Fiscal el plazo común de diez días para formular, con las aportaciones documentales que procediesen, las alegaciones que estimaran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Alonso Ballesteros, actuando en nombre y representación de don Josep Gómez Egea, evacuó el traslado concedido mediante escrito que tuvo entrada en este Tribunal el día 5 de diciembre de 2003, en el que, nuevamente, volvió a exponer los motivos invocados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presentó escrito el día 10 de diciembre de 2003, en que, tras sintetizar la demanda de amparo y lo ocurrido en el proceso, analizó las vulneraciones aducidas, entendiendo que procedía dictar Auto acordando la inadmisión de la demanda de amparo por carecer la misma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veinticinco de noviembre de 2004 la Sección Segunda del Tribunal Constitucional acordó la admisión a trámite de la demanda de amparo reseñada y requerir a la Sección Tercera de la Audiencia Provincial de Girona para que remitiera certificación o fotocopia adverada de las actuaciones correspondientes al rollo de apelación núm. 831-2002, así como también al Juzgado de lo Penal núm. 3 de Girona para que remitiera certificación o fotocopia adverada del procedimiento abreviado 289/2001, y también a éste último para que emplazara a quienes fueron parte en el procedimiento, con excepción del recurrente de amparo, para que en el plazo de diez días pudieran comparecer en el proceso constitucional, así como formar pieza separada de suspensión, y, de conformidad con lo prevenido en el art. 56 LOTC, conceder un plazo común de tres días al Ministerio Fiscal y al solicitante de amparo, para que dentro del mismo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 de diciembre de 2004 se presentó escrito de alegaciones por el Ministerio Fiscal. En él señalaba que debía accederse a la suspensión solicitada de la Sentencia de la Audiencia Provincial en cuanto a la pena de prisión, en atención a su duración, al ser presumible que, al tiempo de resolverse la pretensión de amparo, la misma estaría cumplida. Pero, a su juicio, carece de objeto la suspensión de la Sentencia en lo que respecta a la condena dineraria consistente en el pago de la indemnización y las costas procesales, porque, al ser de naturaleza económica, son susceptibles de reparación en el caso de que se otorgase el amparo solicitado, además de que el importe de la indemnización no puede considerarse de cuantía elevada.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7 de diciembre tuvo entrada en Registro de este Tribunal el escrito de alegaciones del demandante de amparo. En el mismo se argumenta que, en caso de no acordarse la suspensión, se podría causar un perjuicio irreparable. Añadía que el Juzgado de lo Penal núm. 3 de Girona había dictado Auto el día 17 de marzo de 2004 en el que había acordado conceder al recurrente en amparo el beneficio de la suspensión de la ejecución de la pena de dos años de prisión siempre que durante el mismo periodo no delinquiese.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e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el carácter cautelar asegurativa de la suspensión debe ponderarse la concurrencia de los requisitos establecidos para su adopción atendiendo en primer lugar a determinar su presupuesto: esto es, que en caso de no adoptarse, se ocasionará al actor un perjuicio que hará perder al amparo su finalidad, debiendo ponderarse los intereses generales y los derechos fundamentales de terceros, cuya perturbación grave o lesión actúa como límite de la adopción de la medida cautelar, y del interés particular del demandante de amparo que alega a su vez la lesión de un derecho fundamental, siendo el potencial perjudicado quien ha de justificar el eventual perjuicio. Asimismo debe añadirse que el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esta doctrina general hemos de examinar las circunstancias particulares del presente caso, en que se solicita por el demandante de amparo la suspensión respecto de los pronunciamientos condenatorios de la Sentencia recurrida, que son: de dos años de prisión, que indemnice a doña Anna María Masó Arte en seis mil euros, mas los intereses legales y al pago de las costas, así como la prohibición de que se aproxime y comunique por cualquier medio con doña Anna Masó Arte y las dos hijas de ésta durante tres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de la pena de prisión de dos años, resulta de plena aplicación al supuesto examinado la doctrina general y reiterada de este Tribunal de que la ejecución de las penas privativas de libertad puede ocasionar al recurrente perjuicios irreparables que harían perder al amparo su finalidad, porque la pérdida de la libertad es irreparable y no puede restituirse (AATC 98/1983, 179/1984, 574/1985, 301/1995, 321/1995, 152/1996, 163/1996 y otros muchos). En su virtud procede estimar la pretensión de suspensión de la Sentencia en cuanto al cumplimiento de la citada pena privativa de libertad impuesta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la pena de alejamiento y de no tener comunicación por medio alguno con doña Anna María Masó Arté, debe matizarse el criterio antes expuesto de irreparabilidad del perjuicio derivado de la pérdida o restricción de libertad, no sólo porque en este caso no tiene el mismo alcance que la pena de prisión, sino también atendiendo al bien jurídico protegido de evitar la posible desprotección de las víctimas, circunstancias que han sido tomadas en cuenta por este Tribunal para atemperar aquél criterio. También hemos dicho en el Auto ATC 53/2003 de 10 de febrero: “la imposición en la Sentencia de la pena de alejamiento de la víctima tiene por objeto proteger la integridad física de aquélla —que constituye, asimismo, un derecho fundamental— frente a eventuales nuevos ataques, y que la restricción de la libertad deambulatoria del actor a dicha pena es mínima.”(sic). Por tanto no procede la estimación de la suspensión de la pena de alejamiento.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respecto de la suspensión de las medidas pecuniarias, tanto la derivada de la responsabilidad civil como la relativa a las costas procesales, este Tribunal viene manteniendo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106/2002 y 119/2003, entre otros muchos). Dado el carácter exclusivamente económico de estos pronunciamientos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estos aspectos del presente supuesto la causa que, conforme al art. 56.1 LOTC, justifica que pueda acordarse la suspensión de la ejecución de la resolución recurrida, esto es, que la misma hubiere de ocasionar un perjuicio que haría perder al amparo su finalidad, no tenga virtualidad ninguna. Por lo que no procede la suspensión de éstas condenas.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se refiere a la pena privativa de libertad de dos años de prisión y a su accesoria legal de inhabilitación del derecho de sufragio pasivo.  2º Denegar la suspensión respecto de la pena de alejamiento y de</w:t>
      </w:r>
    </w:p>
    <w:p w:rsidRPr="" w:rsidR="00AD51A7" w:rsidRDefault="008777C4">
      <w:pPr>
        <w:rPr/>
      </w:pPr>
      <w:r w:rsidRPr="&lt;w:rPr xmlns:w=&quot;http://schemas.openxmlformats.org/wordprocessingml/2006/main&quot;&gt;&lt;w:szCs w:val=&quot;24&quot; /&gt;&lt;/w:rPr&gt;">
        <w:rPr/>
        <w:t xml:space="preserve">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