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marzo de 2003, el Procurador de los Tribunales don Paulino Rodríguez Peñamaría, interpuso, en nombre de don Luis Silveira Cabanas, recurso de amparo contra la Sentencia de 12 de junio de 2001 de la Sección Segunda de la Audiencia Provincial de Santa Cruz de Tenerife y contra la Sentencia de 10 de febrero de 2003 de la Sala de lo Penal del Tribunal Supremo en virtud de la cual, y previa revocación parcial de la anterior, resultó condenado, como autor de un delito de contra la salud pública (art. 368 CP) de sustancia que causa grave daño a la salud, en grado de tentativa, a las penas de dos años de prisión, accesoria legal de inhabilitación especial para el derecho de sufragio pasivo por el tiempo de la condena, multa de cinco millones de pesetas y al pago de un tercio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al secreto de las comunicaciones postales (art. 18.3 CE) y al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noviembre de 2004, la Sección Segunda acordó admitir a trámite la demanda de amparo, y, de conformidad con lo previsto en el art. 56 LOTC, abrir pieza separada de suspensión y conceder un plazo común de tres días, al Ministerio Fiscal y a la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29 de noviembre de 2004, el Ministerio Fiscal interesó la suspensión de la Resolución en lo atinente a la pena de prisión de dos años, en atención a la reiterada doctrina de este Tribunal y para evitar que en caso de estimarse la demanda el amparo perdiera su finalidad, dado no solo la duración de la pena impuesta sino el dato de haber estado ya ocho meses en prisión preventiva, por lo que solo le restaría por cumplir dieciséis meses de prisión. Asimismo interesa la suspensión de la Resolución en lo que afecta a la accesoria de inhabilitación especial, dado que, conforme a la jurisprudencia de este Tribunal, siguen la suerte de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 de diciembre de 2004, la representación de la demandante de amparo razonó sobre la procedencia de la suspensión interesada afirmando que la suspensión no ocasionaría perturbación grave de los intereses generales frente a los perjuicios irreparables que la ejecución de la Resolución le produciría, dado que ya ha cumplido ocho meses de prisión preventiva.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de la Resolución en relación con la pena privativa de libertad impuesta de prisión de dos años, la accesoria de inhabilitación especial, la multa y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por todos). Esta doctrina es igualmente aplicable a la condena en costas procesales, pues al entrañar un pago en dinero, su ejecución no provoca ningún perjuicio que pueda hacer inútil el recurso de amparo (AATC 244/1991 y 2092/1992, 267/1995, 117/1999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pena de multa impuesta y la condena en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Respecto de condenas a penas privativas de libertad de cinco años o de duración inferior,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y la trayectoria, acreditada documentalmente por el recurrente, posterior a su condena (ATC 270/2002).</w:t>
      </w:r>
    </w:p>
    <w:p w:rsidRPr="00C21FFE" w:rsidR="00AD51A7" w:rsidRDefault="008777C4">
      <w:pPr>
        <w:rPr/>
      </w:pPr>
      <w:r w:rsidRPr="&lt;w:rPr xmlns:w=&quot;http://schemas.openxmlformats.org/wordprocessingml/2006/main&quot;&gt;&lt;w:lang w:val=&quot;es-ES_tradnl&quot; /&gt;&lt;/w:rPr&gt;">
        <w:rPr/>
        <w:t xml:space="preserve">Aplicada la doctrina expuesta al presente caso procede la suspensión solicitada en lo atinente a la pena de prisión de dos años impuesta, pues, de un lado, como señala el Ministerio Fiscal, dicha magnitud refleja que no estamos ante un hecho grave, y, de otro, en la medida en que el recurrente ha estado ocho meses en prisión preventiva, la ponderación del tiempo de prisión que le resta por cumplir y la previsible duración del proceso de amparo hace temer que el amparo, en caso de otorgarse, hubiera perdido entonces su finalidad (por todos, ATC 469/2004).</w:t>
      </w:r>
    </w:p>
    <w:p w:rsidRPr="00C21FFE" w:rsidR="00AD51A7" w:rsidRDefault="008777C4">
      <w:pPr>
        <w:rPr/>
      </w:pPr>
      <w:r w:rsidRPr="&lt;w:rPr xmlns:w=&quot;http://schemas.openxmlformats.org/wordprocessingml/2006/main&quot;&gt;&lt;w:lang w:val=&quot;es-ES_tradnl&quot; /&gt;&lt;/w:rPr&gt;">
        <w:rPr/>
        <w:t xml:space="preserve">Igual suerte ha de correr la pena de inhabilitación especial impuesta, pues, de conformidad con la jurisprudencia constitucional, las penas accesorias siguen la suerte de la principal (entre muchos AATC 144/1984, 267/1995, 301/1995, 7/1996, 152/1996, 87/1997, 286/1997, 182/1998, 271/1998, 83/2000, 22/2002).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Sala de lo Penal del Tribunal Supremo de 10 de febrero de 2003 exclusivamente en lo atinente a las penas impuestas de dos años de prisión y accesoria de inhabilitación especial para el derecho de sufragio</w:t>
      </w:r>
    </w:p>
    <w:p w:rsidRPr="" w:rsidR="00AD51A7" w:rsidRDefault="008777C4">
      <w:pPr>
        <w:rPr/>
      </w:pPr>
      <w:r w:rsidRPr="&lt;w:rPr xmlns:w=&quot;http://schemas.openxmlformats.org/wordprocessingml/2006/main&quot;&gt;&lt;w:szCs w:val=&quot;24&quot; /&gt;&lt;/w:rPr&gt;">
        <w:rPr/>
        <w:t xml:space="preserve">pasivo.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