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18 de febrero de 2004 en este Tribunal, la Procuradora doña Pilar Maldonado Félix, en nombre y representación de don Luis Pizarro Dual, formuló recurso de amparo contra la Sentencia de la Sala Segunda del Tribunal Supremo 1683/2003, de 11 de diciembre, recaída en casación contra la dictada por la Audiencia Provincial de Madrid el 4 de junio de 2002, en el procedimiento ordinario 38-2001, seguido por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Incoadas diligencias previas por el Juzgado de Instrucción núm. 42 de Madrid, y continuada su tramitación por el procedimiento ordinario, el Ministerio Fiscal formuló acusación contra diversas personas, entre las que se cuenta el recurrente en amparo. </w:t>
      </w:r>
    </w:p>
    <w:p w:rsidRPr="00C21FFE" w:rsidR="00AD51A7" w:rsidRDefault="008777C4">
      <w:pPr>
        <w:rPr/>
      </w:pPr>
      <w:r w:rsidRPr="&lt;w:rPr xmlns:w=&quot;http://schemas.openxmlformats.org/wordprocessingml/2006/main&quot;&gt;&lt;w:lang w:val=&quot;es-ES_tradnl&quot; /&gt;&lt;/w:rPr&gt;">
        <w:rPr/>
        <w:t xml:space="preserve">b) La Audiencia Provincial de Madrid, encargada del enjuiciamiento de la causa, condenó al recurrente en su Sentencia de 4 de junio de 2002 como autor responsable de un delito contra la salud pública de sustancias estupefacientes de las que causan grave daño a la salud en cantidad de notoria importancia, sin circunstancias modificativas de la responsabilidad criminal, a las penas de once años de prisión y multa de 775.000 euros, con su accesoria de inhabilitación absoluta durante el tiempo que dure la condena, y al pago de las costas procesales en una parte proporcional al número de condenados. </w:t>
      </w:r>
    </w:p>
    <w:p w:rsidRPr="00C21FFE" w:rsidR="00AD51A7" w:rsidRDefault="008777C4">
      <w:pPr>
        <w:rPr/>
      </w:pPr>
      <w:r w:rsidRPr="&lt;w:rPr xmlns:w=&quot;http://schemas.openxmlformats.org/wordprocessingml/2006/main&quot;&gt;&lt;w:lang w:val=&quot;es-ES_tradnl&quot; /&gt;&lt;/w:rPr&gt;">
        <w:rPr/>
        <w:t xml:space="preserve">c) Don Luis Pizarro Dual interpuso recurso de casación por infracción de precepto constitucional y de precepto legal, alegando, en lo que ahora interesa, que se habían vulnerado sus derechos al secreto de las comunicaciones y a un proceso con todas las garantías, a la inviolabilidad del domicilio y a la presunción de inocencia y el principio de igualdad respecto de las menores condenas impuestas a otros condenados en la misma causa. </w:t>
      </w:r>
    </w:p>
    <w:p w:rsidRPr="00C21FFE" w:rsidR="00AD51A7" w:rsidRDefault="008777C4">
      <w:pPr>
        <w:rPr/>
      </w:pPr>
      <w:r w:rsidRPr="&lt;w:rPr xmlns:w=&quot;http://schemas.openxmlformats.org/wordprocessingml/2006/main&quot;&gt;&lt;w:lang w:val=&quot;es-ES_tradnl&quot; /&gt;&lt;/w:rPr&gt;">
        <w:rPr/>
        <w:t xml:space="preserve">d) La Sentencia de la Sala de lo Penal del Tribunal Supremo 1683/2003, de 11 de diciembre, declara no haber lugar al recurso de casación. En lo que afecta al recurso de casación interpuesto por el recurrente en amparo, afirma que no se ha producido ninguna de las aducidas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basa en que las resoluciones judiciales impugnadas lesionan los derechos al secreto de las comunicaciones y a un proceso con todas las garantías (arts. 18.3 y 24.2 CE) y a la presunción de inocencia (art. 24.2 CE), así como 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diligencias de ordenación de 22 de abril de 2004, el Secretario de Justicia de la Sección Cuarta solicitó a la Audiencia Provincial de Madrid la remisión de las actuaciones correspondientes al rollo 38-2001 dimanante del sumario 3-2001 del Juzgado de Instrucción núm. 42 de Madrid, y al recurrente copia del escrito de formalización del recurso de casación. Los documentos interesados fueron registrados en el Tribunal los posteriores días 15 de junio y 30 de julio de 2004,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acordó a través de providencia de 16 de diciembre de 2004 admitir a trámite esta demanda de amparo, solicitando de acuerdo con el art. 51 LOTC la remisión de las oportunas actuaciones judiciales al Tribunal Supremo y confiriendo un plazo de diez días para que puedan comparecer en este proceso, si lo desean, quienes hubieran sido parte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la Sala Segunda acordó formar la oportuna pieza separada para la tramitación del incidente sobre suspensión, confiriendo un plazo de tres días para que la parte recurrente y el Ministerio Fiscal se pronunciaran sobre la pertinencia de dicha suspensión. </w:t>
      </w:r>
    </w:p>
    <w:p w:rsidRPr="00C21FFE" w:rsidR="00AD51A7" w:rsidRDefault="008777C4">
      <w:pPr>
        <w:rPr/>
      </w:pPr>
      <w:r w:rsidRPr="&lt;w:rPr xmlns:w=&quot;http://schemas.openxmlformats.org/wordprocessingml/2006/main&quot;&gt;&lt;w:lang w:val=&quot;es-ES_tradnl&quot; /&gt;&lt;/w:rPr&gt;">
        <w:rPr/>
        <w:t xml:space="preserve">El 29 de diciembre de 2004 fue registrado el escrito de alegaciones de la representación procesal del recurrente, que se centra en la suspensión de la pena privativa de libertad. Se hace notar que de los once años de prisión ya se han cumplido cuarenta y cinco meses, y que la suspensión de la condena no causa una perturbación grave de los intereses generales y se ve avalada por las condiciones personales del recurrente (con domicilio conocido, trabajo y su condición de padre de tres hijos menores). </w:t>
      </w:r>
    </w:p>
    <w:p w:rsidRPr="00C21FFE" w:rsidR="00AD51A7" w:rsidRDefault="008777C4">
      <w:pPr>
        <w:rPr/>
      </w:pPr>
      <w:r w:rsidRPr="&lt;w:rPr xmlns:w=&quot;http://schemas.openxmlformats.org/wordprocessingml/2006/main&quot;&gt;&lt;w:lang w:val=&quot;es-ES_tradnl&quot; /&gt;&lt;/w:rPr&gt;">
        <w:rPr/>
        <w:t xml:space="preserve">El Fiscal, en las alegaciones que fueron presentadas en este Tribunal el 4 de enero de 2005, interesa que no se acuerde la suspensión de la condena impugnada en amparo. En cuanto a la pena privativa de libertad, por tratarse de una pena por delito de extraordinaria gravedad y extensa duración (once años de prisión), por lo que es previsible que el recurso de amparo sea resuelto (eventualmente, estimado) antes de que genere perjuicios irreparables para el demandante. La pena accesoria debe seguir la misma suerte que la principal (AATC 158/2000 y 293/2001). Finalmente, en lo atinente al abono de la multa y de las costas, tampoco procede acordar la suspensión (AATC 161/2001 y 261/2001), por estar ante pronunciamientos de naturaleza económica en los que el recurrente no ha justificado la irreparabilidad del perjuicio que pudiera derivarse de su abono.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307/1999, de 13 de diciembre,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y las resoluciones allí citadas)” (ATC 9/2003, FJ 1 in fine).</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Ley Orgánica que regula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 ello ha de añadirse que este Tribunal, al pronunciarse sobre la suspensión solicitada, no puede prejuzgar la cuestión principal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solicitó en su día la suspensión de la condena impuesta por las resoluciones judiciales impugnadas en amparo, y ha reiterado tal pretensión en las alegaciones vertidas ex art. 56 LOTC, si bien centrándose, exclusivamente, en la privación de libertad a la que se ve sometido. Se hace notar, en este sentido, que ya se han cumplido cuarenta y cinco meses de los once años de prisión a los que ha sido condenado. El Ministerio Fiscal interesa, por su parte, que este Tribunal no acuerde la suspensión solicitada, por entender que su mantenimiento no provoca un perjuicio irreparable.</w:t>
      </w:r>
    </w:p>
    <w:p w:rsidRPr="00C21FFE" w:rsidR="00AD51A7" w:rsidRDefault="008777C4">
      <w:pPr>
        <w:rPr/>
      </w:pPr>
      <w:r w:rsidRPr="&lt;w:rPr xmlns:w=&quot;http://schemas.openxmlformats.org/wordprocessingml/2006/main&quot;&gt;&lt;w:lang w:val=&quot;es-ES_tradnl&quot; /&gt;&lt;/w:rPr&gt;">
        <w:rPr/>
        <w:t xml:space="preserve">Debemos denegar la suspensión interesada por el recurrente, ya que, como recordábamos en dicho Auto 140/2004, en la suspensión de las resoluciones judiciales que condenan a penas privativas de libertad este Tribunal tiene en cuenta que dicha pena afecta a bienes o derechos del recurrente en amparo de imposible o muy difícil restitución a su estado anterior, en caso de su estimación, pero no sólo. Este criterio no es absoluto, pues la doctrina que hemos elaborado señala que la decisión ha de ponderar otros criterios relevantes, entre los cuales se encuentran la gravedad y naturaleza de los hechos enjuiciados y el bien jurídico protegido, su trascendencia social, la duración de la pena impuesta y el tiempo que reste de cumplimiento de la misma, así como el riesgo de que pueda eludirse la acción de la Justicia o la posible desprotección de las víctimas (AATC 53/1992; 152/1995; 196/1995; 121/1996; 163/1996; 226/1996; 310/1996; 349/1996; 419/1997; 420/1997; 49/1998; 186/1998; 220/1999; 114/2000; 146/2001; y 22/2002).</w:t>
      </w:r>
    </w:p>
    <w:p w:rsidRPr="00C21FFE" w:rsidR="00AD51A7" w:rsidRDefault="008777C4">
      <w:pPr>
        <w:rPr/>
      </w:pPr>
      <w:r w:rsidRPr="&lt;w:rPr xmlns:w=&quot;http://schemas.openxmlformats.org/wordprocessingml/2006/main&quot;&gt;&lt;w:lang w:val=&quot;es-ES_tradnl&quot; /&gt;&lt;/w:rPr&gt;">
        <w:rPr/>
        <w:t xml:space="preserve">De entre todos ellos, en el presente caso,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(por todos, ATC 433/2004, de 15 de noviembre, FJ 1). Y es en atención a ese dato fundamental por lo que compartimos el criterio expresado por el Ministerio Fiscal, que recuerda la gravedad del delito y la duración de la condena impuesta (y de la que, todavía a fecha de hoy, queda por cumplir).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procede la denegación de la suspensión de la pena accesoria de suspensión de empleo o cargo público durante el tiempo de la condena puesto que, de conformidad con nuestra jurisprudencia en este punto, las penas accesorias han de seguir en principio la misma suerte que la principal (AATC 248/2001, de 17 de septiembre, FJ 2; 305/2001, de 12 de diciembre,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procede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(AATC 211/2004, de 2 de junio, FJ 2; 184/2004, de 19 de mayo, FJ 5 y las numerosas resoluciones allí citadas)” (ATC 468/2004, de 29 de noviembre, FJ 1). Y es que, conforme a nuestra consolidada doctrina, “habrá de acordarse la no suspensión de la ejecución salvo que el demandante acredite suficientemente la irreparabilidad que para sus derechos fundamentales pudiera tener la ejecución del fallo, privando al amparo de su finalidad (AATC 51/1989, 136/1996 y 310/1996)” (ATC 173/1999, de 28 de junio, FJ 1). Desde esta perspectiva, no es irrelevante que el recurrente no haya hecho alegación alguna ni en el trámite conferido al amparo del art. 50.3 LOTC ni, lo que es más importante en este momento, en el acordado en relación expresa con la suspensión (art. 56.2 LOTC), habiéndose limitado su argumentación a justificar la procedencia de la suspensión de la pena privativa de libertad, cuestión sobre la que ya nos hemos pronunciado en líneas anteriores.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resoluciones recurridas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