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junio de 1998 tuvo entrada en este Tribunal un escrito del Letrado de la Junta de Andalucía mediante el cual, en la representación que ostenta, planteó conflicto positivo de competencia frente a varios Acuerdos de la Secretaría General de Comunicaciones del Ministerio de Fomento de 19 de enero y 13 de febrero de 1998, sobre incoación de expedientes sancionadores, y Resoluciones de 28 de febrero de 1998 del Ministerio de Fomento por las que se resuelven expedientes sancionadores.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Segunda de 30 de junio de 1998, el Abogado del Estado formuló sus alegaciones mediante escrito de 22 de julio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12 de enero de 2005 la Letrada de la Junta de Andalucía presenta en este Tribunal un escrito en el que expuso que, debidamente autorizada en virtud de Acuerdo del Consejo de Gobierno de 28 de diciembre de 2004, solicitaba, al amparo de lo establecido en el art. 86 LOTC en conexión con el art. 80 de la misma Ley, tener por desistido al Consejo de Gobierno de la Junta de Andalucía en 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por providencia de 2 de febrero de 2005,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11 de febrero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 carácter supletorio de este acto procesal (arts. 19.1 y 20.2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opongan las demás partes personadas a través de un motivo declarado válido por este Tribunal y no se advierta interés constitucional que justifique la prosecución del proceso hasta su finalización por sentencia (AATC, por todos, 233/1993, de 26 de enero; 173/1997, de 20 de mayo; 278/2001, de 30 de octubre; 129/2002, de 16 de julio; y 43/2004, de 10 de febrero).</w:t>
      </w:r>
    </w:p>
    <w:p w:rsidRPr="00C21FFE" w:rsidR="00AD51A7" w:rsidRDefault="008777C4">
      <w:pPr>
        <w:rPr/>
      </w:pPr>
      <w:r w:rsidRPr="&lt;w:rPr xmlns:w=&quot;http://schemas.openxmlformats.org/wordprocessingml/2006/main&quot;&gt;&lt;w:lang w:val=&quot;es-ES_tradnl&quot; /&gt;&lt;/w:rPr&gt;">
        <w:rPr/>
        <w:t xml:space="preserve">La Letrada de la Junta de Andalucía, debidamente autorizada, según certificación del Acuerdo adoptado al efecto por el Consejo de Gobierno, pide que se la tenga por desistida del presente conflicto positivo de competencia. El Abogado del Estado no se opone a ello, sin que se advierta interés constitucional que aconseje la prosecución del conflicto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desistida a la Letrada de la Junta de Andalucía, en la representación que legalmente ostenta, del conflicto positivo de competencia núm. 2741-1998, planteado en relación varios Acuerdos de la Secretaría General de Comunicaciones del Ministerio de Fomento de 19 de enero y 13 de febrero de 1998, sobre incoación de expedientes sancionadores, y Resoluciones de 28 de febrero de 1998 del Ministerio de Fomento por las que se resuelven expedientes sancionadores,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uno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