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2005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la cuestión de inconstitucionalidad núm. 6277-2002 planteada por la Sección Segunda de la Sala Tercera del Tribunal Supremo se cuestionan los apartados 1 y 2 del art. 70 de la Ley 27/1992, 24 de noviembre, puertos del Estado y de la marina mercante, en su redacción originaria, por presunta vulneración del art. 31.3 de la Constitución Española.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Mediante sendos escritos fechados el día 12 de abril de 2005 los Magistrados don Ramón Rodríguez Arribas y don Pascual Sala Sánchez comunicaron a los efectos oportunos que se abstenían de intervenir en la deliberación y votación de la indicada cuestión de inconstitucionalidad, de conformidad con el art. 219.11º de la LOPJ, al haber formado parte del órgano judicial que planteó la cuestión de inconstitucionalidad.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Vistas las comunicaciones efectuadas por don Ramón Rodríguez Arribas y don Pascual Sala Sánchez, Magistrados de este Tribunal Constitucional, en virtud de lo previsto en los arts. 80 LOTC y 221.4 LOPJ, se estima justificada la causa de abstención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formulada, puesto que los mencionados Magistrados han formado parte de la Sala Tercera del Tribunal Supremo que, con fecha de 7 de noviembre de 2002, planteó la presente cuestión de inconstitucionalidad.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la causa de abstención formulada por los Excmos. Srs. don. Ramón Rodríguez Arribas y don Pascual Sala Sánchez en la cuestión de inconstitucionalidad núm. 6277-2002, apartándoles definitivamente de la referida cuestión.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diecinueve de abril de dos mil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