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noviembre de 2003, doña Olga Gutiérrez Alvarez, Procuradora de los Tribunales, y de don Rafael Vicente Montesinos Zamorano,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25 de Madrid, de 7 de marzo de 2003 se condenó a don José Lobato Hernández como autor de dos delitos contra la Hacienda Pública y como autor de un delito continuado de falsedad, absolviendo libremente al resto de los imputados en la causa, entre los que se encontraba el demandante de amparo. </w:t>
      </w:r>
    </w:p>
    <w:p w:rsidRPr="00C21FFE" w:rsidR="00AD51A7" w:rsidRDefault="008777C4">
      <w:pPr>
        <w:rPr/>
      </w:pPr>
      <w:r w:rsidRPr="&lt;w:rPr xmlns:w=&quot;http://schemas.openxmlformats.org/wordprocessingml/2006/main&quot;&gt;&lt;w:lang w:val=&quot;es-ES_tradnl&quot; /&gt;&lt;/w:rPr&gt;">
        <w:rPr/>
        <w:t xml:space="preserve">b) Contra la anterior resolución interpusieron recurso de apelación tanto el Abogado del Estado como el Ministerio Fiscal, recursos estimados por Sentencia de la Sección Primera de la Audiencia Provincial de Madrid, de 20 de octubre de 2003, en la que se condena al ahora demandante de amparo y a las otras tres personas inicialmente absueltas, como autores responsables cada uno de ellos de dos delitos contra la Hacienda Pública, relativos al Impuesto de Sociedades y al IVA de 1993, a las penas por cada uno de los dos delitos, de siete meses de prisión y multa de 387.452’13 € con tres meses de arresto sustitutorio en caso de impago, así como a que indemnicen conjunta y solidariamente a la Hacienda Pública en la suma de 387.452’13 €, más los intereses del art. 58 de la LGT; asimismo se les condena como autores de un delito continuado de falsedad documental a las penas para cada uno de ellos de siete meses de prisión y multa de 601’01 € con un mes de arresto sustitutorio en caso de impago. Se les impone, además, la pérdida de la posibilidad de obtener subvenciones o ayudas públicas y del derecho a gozar de beneficios o incentivos fiscales o de la Seguridad Social durante tres años. Cada uno de ellos pagará una octava parte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un proceso con todas las garantías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su ejecución podría ocasionarle un perjuicio que haría perder al amparo su finalidad, tanto en lo relativo a la pena privativa de libertad, como en las de contenido económico. En concreto, en cuanto al pago de la indemnización, señala que su cuantía es muy elevada y que se ha embargado la mitad indivisa de su vivienda conyugal, que ocupa con su esposa e hijos, y que la ejecución del embargo implicaría consecuencias de imposible restitución para terceros inocentes.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marzo de 2005, la Sección Segunda de este Tribunal acordó la admisión a trámite de la demanda así como, a tenor de lo establecido en el art. 51 LOTC, requerir atentamente al Juzgado de lo Penal núm. 25 y a la Audiencia Provincial de Madrid para que remitieran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8 de abril de 2005, realiza sus alegaciones el demandante de amparo, quien reitera la solicitud de suspensión de la ejecución de todos los pronunciamientos condenatorios, con excepción de las costas. </w:t>
      </w:r>
    </w:p>
    <w:p w:rsidRPr="00C21FFE" w:rsidR="00AD51A7" w:rsidRDefault="008777C4">
      <w:pPr>
        <w:rPr/>
      </w:pPr>
      <w:r w:rsidRPr="&lt;w:rPr xmlns:w=&quot;http://schemas.openxmlformats.org/wordprocessingml/2006/main&quot;&gt;&lt;w:lang w:val=&quot;es-ES_tradnl&quot; /&gt;&lt;/w:rPr&gt;">
        <w:rPr/>
        <w:t xml:space="preserve">Así, solicita que se suspenda de la pena privativa de libertad, dada su escasa duración en relación con la posible duración de la tramitación del recurso y dado que la libertad personal no puede restituirse. También solicita la suspensión del arresto sustitutorio, caso de que llegara a aplicarse, por idénticas razones, y de las penas accesorias legales, que deben correr la misma suerte que la principal. Incluye entre las accesorias legales la pérdida de la posibilidad de obtener subvenciones o ayudas públicas y del derecho a gozar de beneficios o incentivos fiscales de la Seguridad Social. </w:t>
      </w:r>
    </w:p>
    <w:p w:rsidRPr="00C21FFE" w:rsidR="00AD51A7" w:rsidRDefault="008777C4">
      <w:pPr>
        <w:rPr/>
      </w:pPr>
      <w:r w:rsidRPr="&lt;w:rPr xmlns:w=&quot;http://schemas.openxmlformats.org/wordprocessingml/2006/main&quot;&gt;&lt;w:lang w:val=&quot;es-ES_tradnl&quot; /&gt;&lt;/w:rPr&gt;">
        <w:rPr/>
        <w:t xml:space="preserve">Por lo que se refiere a las penas de contenido económico, se señala que la cuantía de las dos multas impuestas (387.452,13 euros cada una) y de la indemnización (que se cifra en otros 387.452,13 euros, más los intereses legales del art. 58 LGT) es muy elevada, por lo que su ejecución generaría un perjuicio irreparable, aunque la solvencia del Estado garantice la devolución posterior de concederse el amparo. También añade que la concesión del mismo es más que probable a la luz de la STC 167/2002. Al efecto de acreditar el perjuicio que el pago de tales cuantías le acarrearía, se aporta fotocopia del escrito presentado por el Abogado del Estado en la ejecutoria 2411/2003, que recoge un informe sobre la situación patrimonial del demandante de amparo, del que se concluye que la ejecución de todo su patrimonio sólo cubriría parte de las responsabilidades y acarrearía su ruina, la de su familia y las de los noventa empleados a los que da trabajo su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abril de 2005 se registró en este Tribunal el escrito de alegaciones del Ministerio Fiscal, que considera procedente la suspensión de las tres penas privativas de libertad, pues dada su escasa duración, la no suspensión haría perder al amparo su finalidad. Por el contrario, se opone a la suspensión solicitada en cuanto a la pena de multa impuesta por el delito de falsedad y a las costas procesales, por tratarse de pronunciamientos pecuniarios de no excesiva cuantía y, por tanto, fácilmente reparables. Por lo que respecta a las multas por los delitos fiscales y a la indemnización acordada a favor de la Hacienda Pública, pese a la cuantía total de las mismas, tampoco procede la suspensión solicitada, sin perjuicio de que pueda acordarse la anotación preventiva de la presente demanda de amparo en el Registro de la Propiedad en que figura inscrito el inmueble que, según las manifestaciones del recurrente, ha sido embargado en su mitad ganancial y que constituye su vivienda habitual.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(un total de veintiún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se trata de un delincuente primario),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Igualmente procede la suspensión de las penas accesorias legalmente impuestas, pues conforme a nuestra Jurisprudencia las penas accesorias han de seguir la misma suerte que la principal (AATC 114/1984, 267/1995, 286/1997, 258/2000, 63/2001, 106/2002), debiendo señalarse que, frente a lo pretendido por el recurrente, no tiene esta consideración la pena de pérdida de la posibilidad de obtener subvenciones públicas o crédito oficial y del derecho a gozar de beneficios o incentivos fiscales, que constituye una de las penas principales del delito por el que resultó condenado el demandante de amparo y respecto de la que nos pronunciaremos en el siguiente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—multas e indemnización— de conformidad con el criterio anteriormente expuesto de que, por tratarse de condenas de contenido económico, los perjuicios anejos a su ejecución son perfectamente reparables en caso de estimarse el amparo (AATC 152/1996, 371/1996, 91/1997, 181/1998, 182/1998, 273/1998, 189/2000, 193/2000, 204/2000, 106/2002).</w:t>
      </w:r>
    </w:p>
    <w:p w:rsidRPr="00C21FFE" w:rsidR="00AD51A7" w:rsidRDefault="008777C4">
      <w:pPr>
        <w:rPr/>
      </w:pPr>
      <w:r w:rsidRPr="&lt;w:rPr xmlns:w=&quot;http://schemas.openxmlformats.org/wordprocessingml/2006/main&quot;&gt;&lt;w:lang w:val=&quot;es-ES_tradnl&quot; /&gt;&lt;/w:rPr&gt;">
        <w:rPr/>
        <w:t xml:space="preserve">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aunque la multa y la indemnización impuestas son de una cuantía elevada, no se ha acreditado la irreparabilidad del perjuicio derivado de la ejecución por la concurrencia de circunstancias especiales, carga que corresponde al recurrente (por todos, AATC 273/1998, 63/2002, 93/2002, 70/2003). En efecto, éste se limita a aportar una fotocopia de un informe aportado a la ejecutoria por el Abogado del Estado sobre su situación patrimonial —del que, por cierto, se desprende su solvencia—, sin que ello pueda considerarse principio razonable de prueba para acreditar la irreparabilidad del perjuicio.  Por otra parte, aunque inicialmente se afirma que la vivienda familiar ha sido embargada, este hecho no se acredita en modo alguno. Es más, el recurrente en el trámite de alegaciones omite toda referencia a esta cuestión y aporta una nota simple informativa del Registro de la Propiedad de Sagunto, expedida el día 7 de abril de 2005, y relativa a la citada vivienda, en la que no consta la existencia de embargo alguno. En tales circunstancias, este Tribunal considera que no procede en este momento adoptar ninguna medida respecto del embargo, ante la falta de acreditación de su existencia. Todo ello sin perjuicio de que, de conformidad con lo dispuesto en el art. 57 LOTC, tal decisión pueda ser modificada durante el curso del proceso de amparo,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Tampoco procede la suspensión de la pena de pérdida de la posibilidad de obtener subvenciones públicas o crédito oficial y del derecho a gozar de beneficios o incentivos fiscales, a la vista del carácter puramente económico de los eventuales perjuicios y de la falta de acreditación de la irreparabilidad de los mismos (en el mismo sentido, AATC 87/1997, 88/1997).</w:t>
      </w:r>
    </w:p>
    <w:p w:rsidRPr="00C21FFE" w:rsidR="00AD51A7" w:rsidRDefault="008777C4">
      <w:pPr>
        <w:rPr/>
      </w:pPr>
      <w:r w:rsidRPr="&lt;w:rPr xmlns:w=&quot;http://schemas.openxmlformats.org/wordprocessingml/2006/main&quot;&gt;&lt;w:lang w:val=&quot;es-ES_tradnl&quot; /&gt;&lt;/w:rPr&gt;">
        <w:rPr/>
        <w:t xml:space="preserve">Igualmente ha de denegarse,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41/2002).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Primera de la Audiencia Provincial de Madrid, de 20 de octubre de 2003, exclusivamente en lo referente a las tres penas privativa de libertad de siete meses de prisión y a las accesorias</w:t>
      </w:r>
    </w:p>
    <w:p w:rsidRPr="" w:rsidR="00AD51A7" w:rsidRDefault="008777C4">
      <w:pPr>
        <w:rPr/>
      </w:pPr>
      <w:r w:rsidRPr="&lt;w:rPr xmlns:w=&quot;http://schemas.openxmlformats.org/wordprocessingml/2006/main&quot;&gt;&lt;w:szCs w:val=&quot;24&quot; /&gt;&lt;/w:rPr&gt;">
        <w:rPr/>
        <w:t xml:space="preserve">legales.</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