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6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ÚNICO. En el recurso de amparo antes referido se impugna el Auto de fecha 11 de diciembre de 2003 dictado por la Sección Primera de la Sala Tercera del Tribunal Supremo que acuerda el archivo del recurso de casación en interés de Ley.   Mediante escrito fechado el 7 de abril de 2005 el Magistrado don Pascual Sala Sánchez comunicó a los efectos oportunos que se abstenía de intervenir en el antes indicado recurso de amparo, de conformidad con el art. 219.11º LOPJ, al haber formado parte del órgano judicial que dictó el Auto ahora impugnado ante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Pascual Sala Sánchez, Magistrado de esta Sección Tercera del Tribunal Constitucional, la Sala, en virtud de lo previsto en los arts. 80 LOTC y 221.4 LOPJ, estima justificada la causa de abstención formulada,</w:t>
      </w:r>
    </w:p>
    <w:p w:rsidRPr="00C21FFE" w:rsidR="00AD51A7" w:rsidRDefault="008777C4">
      <w:pPr>
        <w:rPr/>
      </w:pPr>
      <w:r w:rsidRPr="&lt;w:rPr xmlns:w=&quot;http://schemas.openxmlformats.org/wordprocessingml/2006/main&quot;&gt;&lt;w:lang w:val=&quot;es-ES_tradnl&quot; /&gt;&lt;/w:rPr&gt;">
        <w:rPr/>
        <w:t xml:space="preserve">puesto que el mencionado Magistrado ha formado parte del órgano judicial autor de la resolución impugnada en esta sede jurisdiccional.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la causa de abstención formulada por el Excmo. Sr. don Pascual Sala Sánchez en el recurso de amparo con número de registro 525-2004, apartándole definitivamente del referido recurso. La Sala Segunda, Sección Tercera, de este Tribunal quedará</w:t>
      </w:r>
    </w:p>
    <w:p w:rsidRPr="" w:rsidR="00AD51A7" w:rsidRDefault="008777C4">
      <w:pPr>
        <w:rPr/>
      </w:pPr>
      <w:r w:rsidRPr="&lt;w:rPr xmlns:w=&quot;http://schemas.openxmlformats.org/wordprocessingml/2006/main&quot;&gt;&lt;w:szCs w:val=&quot;24&quot; /&gt;&lt;/w:rPr&gt;">
        <w:rPr/>
        <w:t xml:space="preserve">integrada por los Excms. Srs. don Guillermo Jiménez Sánchez, don Eugeni Gay Montalvo y don Ramón Rodríguez Arribas.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