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2005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La Sala Primera de este Tribunal, en el presente recurso de amparo núm. 2213-2000, dictó Sentencia de 23 de mayo de 2005, en la que se acordaba otorgar a la entidad mercantil Cubacor, S.L. el amparo solicitado y, en su virtud, como apartado segundo, declarar la nulidad, entre otros, del Acuerdo del Excmo. Ayuntamiento de Córdoba núm. 256/94, de 15 de abril.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escrito registrado el 15 de junio de 2005, el Procurador de los Tribunales don Antonio Álvarez-Buylla Ballesteros, en nombre y representación de la entidad mercantil Cubacor, S.L. solicitó, al amparo del art. 93.1 LOTC, aclaración de la mencionada Sentencia a fin de que se rectificara la errata consistente en haberse incluido en el apartado 2º del fallo la mención, como acto a anular, del acuerdo del Excmo. Ayuntamiento de Córdoba núm. 256/94, de 15 de abril, cuando, como se derivaba claramente del suplico de la demanda y de la fundamentación jurídica de la Sentencia, el mismo debía ser el acuerdo núm. 478/94, de 22 de julio.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Procede acceder, tal como se solicita, a rectificar el error manifiesto en que se ha incurrido en el apartado 2º del fallo de la STC 126/2005, de 23 de mayo, dictada en el presente recurso de amparo núm. 2213-2000, toda vez que, en efecto, como se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deriva del suplico de la demanda y de la propia Sentencia, el acto administrativo del Excmo. Ayuntamiento de Córdoba impugnado fue el Acuerdo núm. 478/94, de 22 de julio, que es el que estableció la suspensión de la licencia de actividad y la clausura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del establecimiento, y no el previo núm. 256/94, de 15 de abril, al que por error se menciona en el fallo de dicha Sentencia, que es en el que se acordaba tener por desistido al recurrente de un recurso de reposición y el archivo de actuaciones en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relación con una anterior retirada temporal de la licencia de actividad.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atención a ello, el apartado 2º del fallo de la Sentencia de 23 de abril de 2005, dictado en el recurso de amparo núm. 2213-2000, debe quedar redactado como sigue: “2º Declarar la nulidad del acuerdo del Excmo. Ayuntamiento de Córdoba núm. 478/94, de 22 de julio; así como de las Sentencias de la Sección Primera de la Sala de lo Contencioso-Administrativo del Tribunal Superior de Justicia de Andalucía de 5 de octubre de 1995, dictada en el recurso contencioso-administrativo núm. 1657/94, y de la Sección Séptima de la Sala de lo Contencioso-Administrativo del Tribunal Supremo de 4 de marzo de 2000, dictada en el recurso de casación núm. 2442/96.”.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En virtud de todo lo expuesto la Sala Primera del Tribunal Constitucional.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Rectificar el error material manifiesto de la Sentencia de 23 de mayo de 2005, dictada en el recurso de amparo núm. 2213-2000, sustituyendo en el apartado 2º del fallo la mención que se hace al Acuerdo del Excmo. Ayuntamiento de Córdoba núm. 256-1994, de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15 de abril, por la del Acuerdo del Excmo. Ayuntamiento de Córdoba núm. 478/94, de 22 de julio, de conformidad con el tenor del fundamento jurídico único de la presente resolución.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cuatro de julio de dos mil cinco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