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de 23 de noviembre de 2002, el Procurador don Antonio María Álvarez Buylla Ballesteros, actuando en nombre y representación de don Abdeluaed Mizzian Amar, interpuso recuso de amparo contra la Sentencia de la Sala de lo Penal del Tribunal Supremo de 14 de octubre de 2002, en recurso de casación, en la que se acordaba no haber lugar al interpuesto contra la Sentencia dictada por la Sección Primera de la Sala de lo Penal de la Audiencia Nacional, el 6 de julio de 2000, en el Sumario 18/1992 del Juzgado Central de Instrucción núm. 1, por la que se condenaba al recurrente, como autor responsable de un delito contra la salud pública, a las penas de seis años y nueve meses de prisión y multa de 50 mil millones de pesetas, mas accesorias legales. Basaba la demanda en que se le había condenado en un proceso en que como única prueba de cargo se habían tomado en cuenta las declaraciones de los coimputados; éstos, de acuerdo con el Ministerio Fiscal, habían reconocido los hechos por los que se les acusaba y habían obtenido una reducción de la pena, beneficiándose de la modificación de conclusiones de la acusación pública y además no habían respondido a las preguntas que durante el juicio les había dirigido el Letrado defensor del demandante de amparo. </w:t>
      </w:r>
    </w:p>
    <w:p w:rsidRPr="00C21FFE" w:rsidR="00AD51A7" w:rsidRDefault="008777C4">
      <w:pPr>
        <w:rPr/>
      </w:pPr>
      <w:r w:rsidRPr="&lt;w:rPr xmlns:w=&quot;http://schemas.openxmlformats.org/wordprocessingml/2006/main&quot;&gt;&lt;w:lang w:val=&quot;es-ES_tradnl&quot; /&gt;&lt;/w:rPr&gt;">
        <w:rPr/>
        <w:t xml:space="preserve">Alega el recurrente que se han vulnerado sus derechos a la presunción de inocencia, a obtener la tutela judicial efectiva sin indefensión, a utilizar los medios de prueba necesarios para su defensa y a un proceso público con todas las garantías. </w:t>
      </w:r>
    </w:p>
    <w:p w:rsidRPr="00C21FFE" w:rsidR="00AD51A7" w:rsidRDefault="008777C4">
      <w:pPr>
        <w:rPr/>
      </w:pPr>
      <w:r w:rsidRPr="&lt;w:rPr xmlns:w=&quot;http://schemas.openxmlformats.org/wordprocessingml/2006/main&quot;&gt;&lt;w:lang w:val=&quot;es-ES_tradnl&quot; /&gt;&lt;/w:rPr&gt;">
        <w:rPr/>
        <w:t xml:space="preserve">Solicitaba que se acordase la admisión de la demanda y el otorgamiento del amparo, declarando que se habían vulnerado los derechos fundamentales antes expresados y, como consecuencia, se acordase declarar nulas las Sentencias de 14 de octubre de 2002 de la Sala de lo Penal del Tribunal Supremo y de 6 de julio de 2000 de la Sala de lo Penal de la Audiencia Nacional. Mediante Otrosí solicitaba la suspensión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mayo de 2005 de la Sala Segunda del Tribunal Constitucional se acordó la admisión a trámite de la demanda de amparo reseñada y solicitar a la Sala Segunda del Tribunal Supremo y a la Sección Primera de la Sala de lo Penal de la Audiencia Nacional certificación de las actuaciones, y solicitar también del Juzgado Central de Instrucción núm. 1 el emplazamiento de quienes fueron parte en el procedimiento, con excepción del recurrente de amparo, para que en el plazo de diez días puedieran comparecer en el proceso constitucional, así como formar pieza separada de suspensión y, de conformidad con lo prevenido en el art. 56 LOTC conceder un plazo común de tres días al Ministerio Fiscal y al solicitante de amparo, para que dentro del mismo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8 de junio de 2005 tuvo entrada en el Registro de este Tribunal el escrito de alegaciones del demandante de amparo. En el mismo se argumentaba que, para que el recurso de amparo no pierda su finalidad y se convierta en algo meramente ilusorio resulta necesario que se suspendan los pronunciamientos de las Sentencias recurridas entretanto se sustancie y resuelva el presente recurso, puesto que, a juicio del recurrente, no se crea con ello ningún peligro o lesión para el interés público o general de clase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junio de 2005 se presentó escrito de alegaciones por el Ministerio Fiscal. Entendía el Fiscal que no es procedente la suspensión de las Sentencias. Respecto de la pena de prisión de seis años y nueve meses con accesoria de inhabilitación especial para el derecho de sufragio porque, según doctrina de este Tribunal ( AATC 220/99, 114/2000, 228/2001 y 522/2004), resulta necesaria la ponderación de la naturaleza de los hechos denunciados, el bien jurídico protegido, la trascendencia social y la duración de la pena impuesta, así como el tiempo que reste de cumplimiento de la misma, ya sea por haber estado en prisión preventiva o por haberse ejecutado tras ser firme la condena y la protección de la víctima. Asimismo, en lo que atañe a la gravedad de las penas de privación de libertad impuestas, también pone de relieve (ATC 39/2004) la fijación por este Tribunal de un límite que, con carácter general, aunque sujeto a excepciones, ha sido establecido en los cinco años de privación de libertad, en atención al criterio genérico de la pérdida de la finalidad del amparo. En este caso, la pena impuesta, entiende el Fiscal, rebasa con creces el límite establecido, además de tratarse de un delito grave, no sólo por la pena impuesta sino también teniendo en cuenta su naturaleza y la magnitud de los hechos que se describen en el factum de la Sentencia de la Audiencia Nacional, por lo que sostiene que no procede la suspensión de la pena privativa de libertad ni la accesoria a ésta. En cuanto a la pena de multa y las costas recuerda el Fiscal la doctrina reiterada de este Tribunal ( AATC 161/2001 y 261/2001, entre otros), y dado que se trata de pronunciamiento de naturaleza económica y no se justifica la irreparabilidad del perjuicio que pudiera derivarse por su abono, tampoco procede, a juicio del Ministerio Fiscal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su carácter cautelar asegurativo, debe comprobarse la concurrencia de los requisitos establecidos para su adopción atendiendo en primer lugar, a determinar su presupuesto, esto es, que, en caso de no adoptarse, se ocasionará un perjuicio que hará perder al amparo su finalidad, debiendo ponderarse los intereses generales y los derechos fundamentales de terceros, cuya perturbación grave o lesión actúa como límite de la adopción de la medida cautelar, y el interés particular del demandante de amparo que alega, a su vez, la lesión de un derecho fundamental, siendo el potencial perjudicado quien ha de justificar el eventual perjuicio. Asimismo debe añadirse que el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último criterio general tampoco es absoluto, pues la jurisprudencia de este Tribunal pone de relieve que en las condenas penales nuestro enjuiciamiento también ha considerado otras circunstancias relevantes, como son las relativas a la gravedad y naturaleza de los hechos enjuiciados y al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 226/1996, 310/1996, 349/1996, 419/1997, 420/1997 y 79/1998).</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acaba de exponerse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Ha de coincidirse con el Ministerio Fiscal en la objetiva gravedad de los hechos imputados, tanto por su propia naturaleza como por la magnitud de los delitos que se describen en la Sentencia de la Audiencia Nacional.</w:t>
      </w:r>
    </w:p>
    <w:p w:rsidRPr="00C21FFE" w:rsidR="00AD51A7" w:rsidRDefault="008777C4">
      <w:pPr>
        <w:rPr/>
      </w:pPr>
      <w:r w:rsidRPr="&lt;w:rPr xmlns:w=&quot;http://schemas.openxmlformats.org/wordprocessingml/2006/main&quot;&gt;&lt;w:lang w:val=&quot;es-ES_tradnl&quot; /&gt;&lt;/w:rPr&gt;">
        <w:rPr/>
        <w:t xml:space="preserve">b) En cuanto a la duración de la pena impuesta, por lo expuesto anteriormente, es cierto que su valoración no puede hacerse de manera mecánica y atendiendo sólo a un límite máximo infranqueable, como claramente se desprende de nuestra jurisprudencia (así, por ejemplo, se acordó la suspensión en el ATC 1260/1988, respecto a una pena de seis años de prisión por homicidio con eximente incompleta; en el ATC 105/1993, respecto a una pena de cinco años de prisión por aborto y otros dos por usurpación de funciones; en el ATC 312/1995, respecto a una pena de once años y siete meses de prisión, aunque ya cumplida en una gran parte, o en el ATC 202/1997, respecto a una pena de cuatro años, dos meses y un día, en concurso real con otra pena de dos años), sino atendiendo a todas las circunstancias concurrentes.</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una pena grave prevista como principal en el ordenamiento penal: 6 años y 9 meses de prisión y multa de 50 mil millones de pesetas. El dato objetivo de la duración de la pena privativa de libertad cuantifica, en este caso, el desvalor del comportamiento enjuiciado y el daño social producido según la apreciación del Tribunal sentenciador, que nosotros no podemos revisar en este trámite. Por lo que la duración de la pena impuesta ha de ser apreciada como expresión del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w:t>
      </w:r>
    </w:p>
    <w:p w:rsidRPr="00C21FFE" w:rsidR="00AD51A7" w:rsidRDefault="008777C4">
      <w:pPr>
        <w:rPr/>
      </w:pPr>
      <w:r w:rsidRPr="&lt;w:rPr xmlns:w=&quot;http://schemas.openxmlformats.org/wordprocessingml/2006/main&quot;&gt;&lt;w:lang w:val=&quot;es-ES_tradnl&quot; /&gt;&lt;/w:rPr&gt;">
        <w:rPr/>
        <w:t xml:space="preserve">c) En definitiva, si se considera la entidad de la pena privativa de libertad impuesta así como la naturaleza de los hechos por los que se impuso, es claro que conceder la suspensión solicitada entrañaría, sin lugar a dudas, una afectación del interés general lo suficientemente grave y específica como para que deba ser aquí aplicable la cláusula final del art. 56 LOTC. Y ello pese a la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228/1896, 310/1996, 394/1996, y 419/1997), pérdida que, en el caso de penas de larga duración, como la impuesta al recurrente, es únicamente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como también es constante en nuestra jurisprudencia, la evidencia de la irreparabilidad de los perjuicios que pueden llegar a causarle al recurrente y la gravedad de los mismos, caso de que el amparo fuera ulteriormente concedido por este Tribunal, nos obliga a reducir en lo posible tan negativos efectos, por lo que, como se ha hecho en casos análogos (AATC 144/1990, 169/1995, 246/1996, 287/1996, 385/1996. 419/1997 y 79/1998 etcétera), es procedente resolver en el más breve plazo posible el presente recurso de amparo, incluso anteponiéndolo en el orden de señalamientos, una vez concluida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de la suspensión de la pena pecuniaria, este Tribunal viene reconociendo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106/2002 y 119/2003,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penas impuestas al demandante en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