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mayo de 2004, el Procurador de los Tribunales don Joaquín Fanjul de Antonio interpuso, en nombre de don Santiago Serrano Martínez, recurso de amparo contra la Sentencia de la Sección Segunda de la Audiencia Provincial de Valladolid, de fecha 12 de abril de 2004, dictada en el rollo de apelación núm 220-2003, que desestimó el recurso de apelación interpuesto contra la Sentencia del Juzgado de lo Penal núm. 3 de los de Valladolid, de fecha 1 de julio de 2003, que condenó al solicitante de amparo como autor responsable de cuatro delitos de homicidio imprudente en relación de concurso ideal a la pena de tres años de prisión, con las accesorias de inhabilitación especial durante igual tiempo para el ejercicio del derecho de sufragio pasivo y la privación del derecho a conducir vehículos de motor y ciclomotores durante cuatro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en relación con la Sentencia dictada por la Audiencia Provincial de Valladolid, violación del derecho fundamental a un proceso con todas las garantías (art. 24.2 CE), del derecho fundamental a la presunción de inocencia (art. 24.2 CE) y del derecho fundamental a la tutela judicial efectiva (art. 24.1 CE); y, en relación con la Sentencia dictada por el Juzgado de lo Penal: violación del derecho fundamental a la presunción de inocencia (art. 24.2 CE) y del derecho fundamental a la tutela judicial efectiva (art. 24.1 CE). En la demanda de amparo se solicita también, mediante Otrosí, la suspensión de la ejecución de las Sentencias recurridas únicamente en cuanto a las penas impuestas al solicitante de amparo, y concretamente la suspensión se refiere a la pena privativa de libertad impuesta y a la prohibición de conducir vehículos de 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junio de 2005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de amparo formuló sus alegaciones en escrito que tuvo entrada en este Tribunal el día 15 de junio de 2005, reiterando su petición de suspensión por las siguientes razones: en primer lugar, porque de no suspenderse la ejecución de la Sentencia controvertida se ocasionaría al solicitante de amparo un perjuicio irreparable, al ser previsible que las penas impuestas en aquella resolución estén a punto de cumplirse o estén ya cumplidas en su totalidad dentro del plazo estimado para la sustanciación del presente recurso, con lo cual se dejaría totalmente en entredicho la eficacia de un eventual fallo estimatorio; en segundo lugar, porque no hay indicios de que exista un riesgo de sustracción a la acción de la Justicia por parte del demandante, pues en el transcurso de los casi más de cuatro años que ha durado la instrucción y posterior enjuiciamiento de los hechos controvertidos jamás ha dejado de comparecer a los múltiples llamamientos judiciales acordados, debiendo asimismo tomarse en consideración su fuerte arraigo, los escasos recursos de que dispone, su domicilio y los lazos familiares, que le sitúan exclusivamente en España; en tercer lugar, porque no parece tampoco justificado invocar una posible infracción al interés general, toda vez que los intereses generales asociados a la ejecución de toda Sentencia penal, en lo que a privación de libertad se refiere, se encuentran en estos casos muy debilitados; y, por último, porque no es posible alegar una eventual desprotección de las víctimas, en cuanto las indemnizaciones a que resultó condenado el demandante ya fueron satisfechas por la compañía aseguradora.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20 de junio de 2004, el Ministerio Fiscal manifestó su no oposición a la suspensión solicitada de la pena privativa de libertad y de su accesoria, alegando que la pena privativa de libertad para la que se pide se ha impuesto con una duración de tres años, sin que esta extensión sea excesiva en relación con la duración habitual del recurso de amparo. Además, el demandante de amparo carece de antecedentes penales y no ha estado en prisión provisional durante la tramitación de la causa. Sin embargo, respecto a la pena de privación del derecho a conducir vehículos de motor y ciclomotores no puede aplicarse la misma doctrina, ya que no está en juego un derecho fundamental como es el de la libertad provisional. El solicitante de amparo ni siquiera ha intentado señalar los perjuicios que podría ocasionarle la ejecución de esta condena, no correspondiendo al Tribunal ni suponerlos ni tenerlos por acreditados cuando falta la alegación, argumentación y acreditación que es carga del demandante. Por ello no procede acordar la suspensión de esta pena.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general de que la ejecución de las resoluciones judiciales cuyos efectos son fundamentalmente patrimoniales o de contenido económico ni causa un perjuicio irreparable al obligado al pago ni puede hacer, en principio o como regla general,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atendiendo a la duración de la pena privativa de libertad impuesta al demandante (tres años), que no suspender su ejecución le ocasionaría un perjuicio irreparable que dejaría totalmente en entredicho la eficacia de un eventual fallo estimatorio de la demanda, por cuanto la pena de prisión estaría ya próxima a su terminación, si no ya cumplida.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impuesta en las resoluciones recurridas.</w:t>
      </w:r>
    </w:p>
    <w:p w:rsidRPr="00C21FFE" w:rsidR="00AD51A7" w:rsidRDefault="008777C4">
      <w:pPr>
        <w:rPr/>
      </w:pPr>
      <w:r w:rsidRPr="&lt;w:rPr xmlns:w=&quot;http://schemas.openxmlformats.org/wordprocessingml/2006/main&quot;&gt;&lt;w:lang w:val=&quot;es-ES_tradnl&quot; /&gt;&lt;/w:rPr&gt;">
        <w:rPr/>
        <w:t xml:space="preserve">La suspensión de la pena privativa de libertad conlleva asimismo la de la pena accesoria de suspensión del derecho de sufragio pasivo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Dadas las circunstancias especiales que concurren en el presente caso, no procede en cambio suspender la ejecución de la pena de privación del derecho a conducir vehículos a motor y ciclomotores que le fue impuesta al demandante de amparo por tiempo de cuatro años. Respecto de la suspensión de las penas privativas o restrictivas de derechos, este Tribunal ha venido declarando que procede en principio acordarla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cumplimiento de la misma, el riesgo de eludir la acción de la Justicia y la posible desprotección de las víctimas (por todos, ATC 62/2002, de 22 de abril). Por su parte, en cuanto a la privación del permiso de conducir vehículos de motor, este Tribunal, desde el ATC 30/1999 sólo ha acordado su suspensión en la medida en que el demandante de amparo haya alegado y acreditado perjuicios de especial consideración en el caso concreto, debido a la condición de conductor profesional (ATC 242/2000) o a la distancia entre la residencia y el lugar de trabajo y la inexistencia de transporte público para efectuar dicho desplazamiento (ATC 53/1999); negándose la suspensión ante la falta de alegación y acreditación de dichos perjuicios (AATC 30/1999, 83/2001, 182/2001). Pues bien, conjugados todos estos criterios, procede en este caso, como se ha anticipado, denegar la suspensión de la ejecución de la pena de privación del permiso de conducir impuesta al recurrente por tiempo de cuatro años en atención a la extraordinaria gravedad de los resultados ocasionados por el hecho delictivo, y, habida cuenta, de que el demandante no ha acreditado qué especiales perjuicios se derivarían de su ejecución en este caso concreto.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las Sentencias de la Sección Segunda de la Audiencia Provincial de Valladolid de 12 de abril de 2004 (rollo núm 490-2003), y del Juzgado de lo Penal núm 3 de los de Valladolid de 1 de julio de 2003, (P.A. núm 120-2003),</w:t>
      </w:r>
    </w:p>
    <w:p w:rsidRPr="" w:rsidR="00AD51A7" w:rsidRDefault="008777C4">
      <w:pPr>
        <w:rPr/>
      </w:pPr>
      <w:r w:rsidRPr="&lt;w:rPr xmlns:w=&quot;http://schemas.openxmlformats.org/wordprocessingml/2006/main&quot;&gt;&lt;w:szCs w:val=&quot;24&quot; /&gt;&lt;/w:rPr&gt;">
        <w:rPr/>
        <w:t xml:space="preserve">exclusivamente en lo relativo a la condena al recurrente a la pena de prisión de tres años.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