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2005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el recurso de inconstitucionalidad núm. 3394-1997, promovido por el Consejo de Gobierno de la Junta de Extremadura, se impugnan los arts. 111.1 y 121.4 del Reglamento de la Asamblea de Extremadura en la redacción dada por la Reforma del Reglamento de 29 de mayo de 1997. A dicho recurso se ha acumulado el recurso de inconstitucionalidad núm. 3449-1997.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fechado el 30 de noviembre de 2005 el Magistrado don Pablo Pérez Tremps manifestó su voluntad de abstenerse en el conocimiento del presente procedimiento y en todas sus incidencias, al concurrir la causa establecida legalmente en el art. 219.6ª LOPJ (haber emitido dictamen sobre el pleito o causa), toda vez que, previo a su nombramiento como Magistrado de este Tribunal, y a solicitud del Consejo de Gobierno de la Junta de Extremadura, redactó, junto con otro colega, dictamen de fecha 15 de mayo de 1997 sobre el presente asunto.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 la comunicación efectuada por don Pablo Pérez Tremps, Magistrado de este Tribunal, en virtud de lo previsto en los arts. 80 LOTC y 221.4 Ley Orgánica del Poder Judicial (LOPJ), se estima justificada la causa de abstención formulada, puesto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que el mencionado Magistrado, al haber emitido dictamen de fecha 15 de mayo de 1997 sobre el particular a petición del Consejo de Gobierno de la Junta de Extremadura, está incurso en la causa de abstención del párrafo 6ª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don Pablo Pérez Tremps en el recurso de inconstitucionalidad núm. 3394-1997 y acumulado, apartándolo definitivamente del referido procedimiento.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trece de diciembre de dos mil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