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febrero de 2006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el recurso de amparo antes referido se impugna Auto dictado por la Sala de lo Contencioso-Administrativo del Tribunal Supremo en el Recurso de casación contra la sentencia dictada por el TSJ de Galicia, Sala de lo Contencioso-Administrativo en el recurso 302/98.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fechado el 9 de febrero de 2006 el Magistrado don Eugeni Gay Montalvo comunicó, a los efectos oportunos, que se abstenía de intervenir en el antes indicado recurso de amparo, de conformidad con el art. 219.13ª LOPJ, dado que los Acuerdos a que hace referencia el presente recurso fueron tomados durante su presidencia del Consejo General de la Abogacía y, en consecuencia, también de su Comisión Permanente.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Eugeni Gay Montalvo, Magistrado de esta Sala Segunda del Tribunal Constitucional, la Sala, en virtud de lo previsto en los arts. 80 LOTC y 221.4 LOPJ, estima justificada la causa de abstención formulada.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la causa de abstención formulada por el Excmo. Sr. Don Eugeni Gay Montalvo en el recurso de amparo con núm. de registro 3891-2003, apartándole definitivamente del referido recurso.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veintisiete de febrero de dos mil seis.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