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27 de febrero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diciembre de 2003 tuvo entrada en el Registro de este Tribunal escrito firmado por el Procurador de los Tribunales don Germán Marina y Grimau, en representación de Caja España de Inversiones, Caja de Ahorros y Monte de Piedad, en virtud del cual interponía recurso de amparo contra la providencia del Juzgado de Primera Instancia núm. 34 de Madrid, de 13 de noviembre de 2003, que inadmitió el recurso de reposición interpuesto contra providencia de 28 de octubre de 2003, en cuya virtud se rechazó la excusa de la recurrente para el cargo de Interventor Acreedor en la suspensión de pagos 912-2003. Por medio de otrosí, se solicitaba en la demanda la suspensión de la ejecución de la resolución recurrida, con el objeto de evitar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24 de enero de 2006, la Sala Segunda acordó admitir a trámite el recurso de amparo y dirigir comunicación al órgano judicial correspondiente, a fin de que, en el plazo de diez días, remitiera certificación o fotocopia adverada de las actuaciones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igual fecha, la Sala acordó formar la oportuna pieza para la tramitación del incidente de suspensión y, conforme a lo dispuesto en el art. 56 LOTC, concedió un plazo común de tres días a la parte recurrente y al Ministerio Fiscal para que alegaran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don Germán Marina y Grimau presentó escrito en este Tribunal el 1 de febrero de 2006, señalando que en el expediente de suspensión de pagos en el que se dictaron las resoluciones que motivan el presente recurso se ha dictado Auto el 30 de diciembre de 2005, por el que se aprueba el convenio alcanzado en dicho procedimiento, con las consecuencias inherentes y, entre ellas, la de cesar en sus funciones los Interventores. Manifiesta que, como consecuencia de la modificación de las circunstancias, la medida de suspensión solicitada en su día carecería hoy de efectividad y, por tanto, no resulta ya oportuno acordarla.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Fiscal, en escrito registrado el 2 de febrero de 2006, manifiesta que procede denegar la suspensión solicitada. Tras exponer los antecedentes del caso y la doctrina de este Tribunal acerca de la previsión del art. 56 LOTC, afirma que la aplicación de ésta al caso presente conduce a que no se acuerde la suspensión, ya que, por una parte, por la demandante de amparo no se acredita, y ni tan siquiera se alega, que se le derive perjuicio alguno, sino que se limita a invocar su irreparabilidad, y, por otra, los perjuicios que se podrían ocasionar serían meramente económicos, derivados de su actuación como interventor de la suspensión, que por su propia naturaleza son susceptibles de reparación.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ocasionare un perjuicio que haría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muchos, AATC 249/1989, 141/1990, 110/1996 y 307/1999).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(AATC 47/1992, 258/1996 y 29/1999), y que la suspensión no produzca las perturbaciones graves a las que se refiere el art. 56 LOTC. En este sentido, por perjuicio irreparable se ha de entender aquel que provoque que el restablecimiento del recurrente en el derecho constitucional vulnerado sea tardío y convierta en meramente ilusorio y nominal el amparo (por todos, AATC 51/1989, 290/1995, 370/1996 y 283/1999).</w:t>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AATC 146/2001, 279/2001 y 293/2001,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ya al análisis del concreto supuesto a que se refiere la presente petición de suspensión, se ha de advertir que, en su demanda, la recurrente se limita a solicitar que se suspenda la ejecución de la resolución impugnada, alegando que la ejecución del acto judicial consumaría el perjuicio y haría perder al amparo su finalidad, pero no acredita suficientemente la irreparabilidad que para sus derechos fundamentales pueda conllevar la ejecución de la resolución judicial impugnada durante la sustanciación del presente recurso de amparo. Es más, en el trámite de alegaciones la actora ha afirmado que la solicitud de suspensión articulada en la demanda carece de efectividad, toda vez que se ha dictado Auto en el procedimiento de suspensión de pagos aprobando el convenio alcanzado, con la consecuencia -entre otras- de que los interventores han cesado en sus funciones.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veintisiete de febrero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