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mayo de 2004 dirigió escrito a este Tribunal don Francisco Zugasti Agüi, solicitando la designación de Letrado y Procurador de oficio, para la interposición de recurso de amparo contra la Sentencia núm 18/2004, de 24 de marzo, dictada por la Sección Sexta de la Audiencia Provincial de Madrid, en el rollo de apelación núm 50-2004, resolviendo, en sentido desestimatorio, el recurso interpuesto contra la Sentencia dictada el 18 de diciembre de 2003, por el Juzgado de Instrucción núm 10 de los de Madrid, en el juicio de faltas 1385-2003, que condenó al demandante, como autor de una falta de lesiones, a la pena de cuatro fines de semana de arresto y al pago de las costas causadas en esta instancia. </w:t>
      </w:r>
    </w:p>
    <w:p w:rsidRPr="00C21FFE" w:rsidR="00AD51A7" w:rsidRDefault="008777C4">
      <w:pPr>
        <w:rPr/>
      </w:pPr>
      <w:r w:rsidRPr="&lt;w:rPr xmlns:w=&quot;http://schemas.openxmlformats.org/wordprocessingml/2006/main&quot;&gt;&lt;w:lang w:val=&quot;es-ES_tradnl&quot; /&gt;&lt;/w:rPr&gt;">
        <w:rPr/>
        <w:t xml:space="preserve">Una vez designados tales profesionales, el Procurador de los Tribunales don Pablo José Trujillo interpuso, en fecha 20 de octubre de 2004, recurso de amparo contra la referida resolución, bajo la dirección del letrado don Miguel A. Alvarez Marcet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violación del derecho a la tutela judicial efectiva (art. 24.1 CE) y, subsidiariamente el derecho a la asistencia letrada (art. 24.2 CE). En la demanda de amparo se solicita también, mediante otrosí, la suspensión de la ejecución de la Sentencia recurrida en cuanto a la pena de arresto de fin de semana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27 de diciembre de 2005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23 de enero de 2006 el Ministerio Fiscal manifestó su no oposición a la suspensión solicitada de la pena privativa de libertad, alegando que es presumible que, al tiempo de resolverse el recurso, la pena de prisión haya sido cumplida en su totalidad, por lo que, de otorgarse el amparo, el mismo perdería su eficacia.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habida cuenta la pena privativa de libertad impuesta al demandante (arresto de cuatro fines de semana), es evidente que no suspender su ejecución le ocasionaría un perjuicio irreparable que dejaría totalmente en entredicho la eficacia de un eventual fallo estimatorio de la demanda, por cuanto la pena de prisión habría sido cumplida en su integridad.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 por lo que ha de acordarse la suspensión de la pena privativa de libertad impuesta en las resoluciones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las Sentencias de la Sección Sexta de la Audiencia Provincial de Madrid de 24 de marzo de 2004 (rollo núm 50-2004) y del Juzgado de Instrucción núm 10 de los de Madrid de 18 de diciembre de 2003 (JF núm 1385-2003), en lo</w:t>
      </w:r>
    </w:p>
    <w:p w:rsidRPr="" w:rsidR="00AD51A7" w:rsidRDefault="008777C4">
      <w:pPr>
        <w:rPr/>
      </w:pPr>
      <w:r w:rsidRPr="&lt;w:rPr xmlns:w=&quot;http://schemas.openxmlformats.org/wordprocessingml/2006/main&quot;&gt;&lt;w:szCs w:val=&quot;24&quot; /&gt;&lt;/w:rPr&gt;">
        <w:rPr/>
        <w:t xml:space="preserve">relativo a la condena al recurrente a la pena de cuatro fines de semana de arresto.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veintisiete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