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18 de febrero de 2004, mediante el que se acuerda elevar a este Tribunal cuestión de inconstitucionalidad respecto del apartado 3.2.1 del art. 66 Ley 13/2000, de 28 de diciembre, de presupuestos generales del Estado para el año 2001, dado que pudiera ser contrario a los artículos 9.3, 31.3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Acuerdo del Consejo de Ministros de fecha 25 de agosto de 1989 se adjudicó a la entidad “Antena 3” una concesión para la prestación del servicio de televisión durante un plazo de 10 años a computar desde el día 03 de abril de 1990, susceptible de ser renovado. A petición de la entidad citada por Acuerdo del Consejo de Ministros de 10 de marzo de 2000 se accedió a la renovación. </w:t>
      </w:r>
    </w:p>
    <w:p w:rsidRPr="00C21FFE" w:rsidR="00AD51A7" w:rsidRDefault="008777C4">
      <w:pPr>
        <w:rPr/>
      </w:pPr>
      <w:r w:rsidRPr="&lt;w:rPr xmlns:w=&quot;http://schemas.openxmlformats.org/wordprocessingml/2006/main&quot;&gt;&lt;w:lang w:val=&quot;es-ES_tradnl&quot; /&gt;&lt;/w:rPr&gt;">
        <w:rPr/>
        <w:t xml:space="preserve">b) Con fecha de 29 de marzo de 2001 la Secretaría de Estado de Telecomunicaciones y para la Sociedad de la Información giró a la entidad mercantil “Antena 3 de Televisión, S.A.” una liquidación en concepto de tasa de reserva del dominio público radioeléctrico (núm. MZZ-0020025) correspondiente al período 01-01-2001 a 31-12-2001, sobre una base de 4.047.920.000 URRs (cantidad de dominio público reservado) y un valor de la URR de 0,0776953125, con un importe total de 314.504.409 ptas (1.890.209,57 €). Esta liquidación que fue recurrida ante el Tribunal Económico Administrativo Central (RG 3048/01; RS 248/01), quien por Resolución con fecha de 30-11-2001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1830-2001), quien tras declarar los autos conclusos por providencia de 20 de noviembre de 2002 acordó oír a las partes y al Ministerio Fiscal sobre el planteamiento de cuestión de inconstitucionalidad de los arts. 14 de la Ley 14/2000, y 66 Ley 13/2000, por vulneración de los arts. 14, 20, 38, 9.3 y 31 CE, lo que fue cumplimentado por la parte actora mediante escrito registrado el día 4 de diciembre de 2002 considerando procedente el planteamiento de la cuestión de inconstitucionalidad; por el Abogado del Estado por escrito presentado el día 26 de diciembre de 2002, oponiéndose al planteamiento de la misma; y por Fiscal mediante escrito con fecha de registro de 22 de enero de 2003, manifestando que no se oponía al planteamiento de la citada cuestión. </w:t>
      </w:r>
    </w:p>
    <w:p w:rsidRPr="00C21FFE" w:rsidR="00AD51A7" w:rsidRDefault="008777C4">
      <w:pPr>
        <w:rPr/>
      </w:pPr>
      <w:r w:rsidRPr="&lt;w:rPr xmlns:w=&quot;http://schemas.openxmlformats.org/wordprocessingml/2006/main&quot;&gt;&lt;w:lang w:val=&quot;es-ES_tradnl&quot; /&gt;&lt;/w:rPr&gt;">
        <w:rPr/>
        <w:t xml:space="preserve">d) Por Auto de 24 de abril de 2003 la Sección Séptima de la Sala de lo Contencioso-Administrativo acordó recibir el pleito a prueba por el plazo de quince días, presentando la parte actora escrito con fecha 23 de mayo de 2003 suplicando la práctica de varias documentales pública. Transcurrido el anterior período mediante providencia de 3 de junio de 2003 se abrió un segundo período para la práctica de la misma. </w:t>
      </w:r>
    </w:p>
    <w:p w:rsidRPr="00C21FFE" w:rsidR="00AD51A7" w:rsidRDefault="008777C4">
      <w:pPr>
        <w:rPr/>
      </w:pPr>
      <w:r w:rsidRPr="&lt;w:rPr xmlns:w=&quot;http://schemas.openxmlformats.org/wordprocessingml/2006/main&quot;&gt;&lt;w:lang w:val=&quot;es-ES_tradnl&quot; /&gt;&lt;/w:rPr&gt;">
        <w:rPr/>
        <w:t xml:space="preserve">e) Practicada la prueba, mediante diligencia de ordenación de 22 de julio de 2003 se declara concluido el período probatorio, concediéndose a la parte actora el plazo de diez para presentar conclusiones sucintas, lo que fue evacuado por escrito registrado el día 8 de septiembre de 2003. Posteriormente, por nueva diligencia de ordenación de 10 de septiembre de 2003 se concedió igual trámite al representante de la Administración demandada, quien por escrito registrado el día 19 de noviembre de 2003 lo cumplimentó. </w:t>
      </w:r>
    </w:p>
    <w:p w:rsidRPr="00C21FFE" w:rsidR="00AD51A7" w:rsidRDefault="008777C4">
      <w:pPr>
        <w:rPr/>
      </w:pPr>
      <w:r w:rsidRPr="&lt;w:rPr xmlns:w=&quot;http://schemas.openxmlformats.org/wordprocessingml/2006/main&quot;&gt;&lt;w:lang w:val=&quot;es-ES_tradnl&quot; /&gt;&lt;/w:rPr&gt;">
        <w:rPr/>
        <w:t xml:space="preserve">f) Por providencia de 13 de enero de 2004 la Sección Séptima de la Sala de lo Contencioso-Administrativo de la Audiencia Nacional declaró conclusas las actuaciones, señalando para votación y fallo el día 5 de febrero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18 de febrero de 2004 la Sección Séptima de la Sala de lo Contencioso-Administrativo de la Audiencia Nacional acordó elevar a este Tribunal cuestión de inconstitucionalidad en relación con “el apartado 3.2.1 del art. 66 Ley 13/2000, de 28 de diciembre, de presupuestos generales del Estado para el año 2001, por posible vulneración de los arts. 9.3º, 31.3º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9.3º y 31.1º en relación con el art. 38 CE, por cuanto el nuevo valor asignado a los coeficientes C1 a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por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22 de noviembre de 2005, a los efectos que determina el art. 37.1 LOTC,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diciembre de 2005 el Fiscal General del Estado presentó su escrito de alegaciones en el que, tras exponer brevemente los antecedentes de la cuestión pone de manifiesto que el objeto de la presente cuestión de inconstitucionalidad es idéntico al de otras muchas planteadas por el mismo órgano judicial respecto del mismo artículo, aunque referidos a apartados distintos, que han sido inadmitidas a trámite por carecer notoriamente de fundamento, en los términos que esta expresión ha sido entendida por este Tribunal (AATC 207/2005, 222/2005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el apartado 3.2.1 del art. 66 Ley 13/2000, de 28 de</w:t>
      </w:r>
    </w:p>
    <w:p w:rsidRPr="00C21FFE" w:rsidR="00AD51A7" w:rsidRDefault="008777C4">
      <w:pPr>
        <w:rPr/>
      </w:pPr>
      <w:r w:rsidRPr="&lt;w:rPr xmlns:w=&quot;http://schemas.openxmlformats.org/wordprocessingml/2006/main&quot;&gt;&lt;w:lang w:val=&quot;es-ES_tradnl&quot; /&gt;&lt;/w:rPr&gt;">
        <w:rPr/>
        <w:t xml:space="preserve">diciembre, de presupuestos generales del Estado para el año 2001,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Como correctamente apunta el Fiscal General del Estado, las dudas suscitadas por el órgano judicial ya han sido resueltas en los AATC 207/2005, de 10 de mayo (cuestión núm. 2369-2004 en relación con el apartado 2.2.4) y 222/2005, de 24 de mayo (cuestión núm. 2677 -2004 en relación con el apartado 2.2.4), y aplicada su doctrina a los AATC 347/2005, de 27 de septiembre (cuestión núm. 2342-2004 en relación con el apartado 1.3.3), 348/2005, de 27 de septiembre (cuestión núm. 2715-2004 en relación con el apartado 1.3.3) y 349/2005, de 27 de septiembre (cuestión núm. 2744-2004 en relación con el apartado 1.3.5), todas ellas planteadas respecto del art. 66 de la misma Ley 13/200 por el mismo órgano judicial,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6951-2004 planteada por la Sección Séptima de la Sala de lo Contencioso-Administrativo de la Audiencia Nacional en el recurso núm. 1828-2001.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