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18 de febrero de 2004, mediante el que se acuerda elevar a este Tribunal cuestión de inconstitucionalidad respecto del apartado 2.2.4 del art. 66 Ley 13/2000, de 28 de diciembre, de presupuestos generales del Estado para el año 2001, dado que pudiera ser contrario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10 de noviembre de 1999 se convocó y se aprobó el pliego de cláusulas administrativas particulares y de prescripciones técnicas para la adjudicación de cuatro licencias individuales, tipo B2, para el establecimiento de la red de telecomunicaciones necesarias y para la explotación del servicio de comunicaciones móviles de tercera generación. Dicho concurso fue resuelto por Acuerdo del Consejo de Ministros de 10 de marzo de 2000, formalizándose el contrato administrativo de concesión para la explotación del servicio público citado el día 18 de abril de 2000, en el que se concreta el número de unidades de reserva radioeléctrica (URRs) que corresponden a la concesión en la cifra de 17.709.650.000 (resultante de multiplicar la superficie de España por la cantidad del espectro radioeléctrico).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“Xfera Móviles, S.A.” una liquidación en concepto de tasa de reserva del dominio público radioeléctrico (núm. MZZ-0020003) correspondiente al período 01-01-2001 a 31-12-2001, sobre una base de 17.709.650.000 URRs (cantidad de dominio público reservado) y un valor de la URR de 1,5312 con un importe total de 27.117.016.080 ptas (162.976.548,99 €). Liquidación que fue recurrida ante el Tribunal Económico-Administrativo Central (RG 3296/01; RS 341/01), quien por Resolución con fecha de 25 de septiembre de 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30-2002), quien tras declarar los autos conclusos y previa audiencia las partes y al Ministerio Fiscal acordó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febrero de 2004 la Sección Séptima de la Sala de lo Contencioso-Administrativo de la Audiencia Nacional acordó elevar a este Tribunal cuestión de inconstitucionalidad en relación con “el apartado 2.2.4 del art. 66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9.3º y 31.1º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2.2.4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planteadas por el órgano judicial en la presente cuestión de inconstitucionalidad respecto del apartado 2.2.4 del art. 66 Ley 13/2000, ya han sido resueltas en los AATC 207/2005, de 10 de mayo, y 222/2005, de 24 de mayo, dictados como consecuencia de las cuestiones de inconstitucionalidad núms. 2369-2004 y 2677-2004 planteadas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6953-2004 planteada por la Sección Séptima de la Sala de lo Contencioso-Administrativo de la Audiencia Nacional en el recurso núm. 30-2002.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