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noviembre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350-2004), el Auto de la referida Sala de 22 de septiembre de 2005, mediante el que se acuerda elevar a este Tribunal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 de octubre de 2001 la Consejería de Economía, Industria y Comercio de la Junta de Extremadura giró a la empresa “Explotaciones Rústicas Ruca, S.A.” una liquidación provisional en concepto de Impuesto sobre el suelo sin edificar y edificaciones ruinosas por un importe total, tras corregir un error cometido en la determinación de su cuantía, de 1.378,53 €.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6-2003) ante la Junta Económico-Administrativa de la Junta de Extremadura, ésta fue desestimada por Resolución de 12 de enero de 2004.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350-2004) ante la Sala de lo Contencioso-Administrativo del Tribunal Superior de Justicia de Extremadura. Admitido y tramitado el recurso, y una vez conclusos lo autos, el día 4 de julio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22 de septiembre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son frecuentes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enero de 2006,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3 de febrero de 2006, interesando la inadmisión a trámite de la cuestión de inconstitucionalidad. En efecto, tras exponer brevemente los antecedentes de la cuestión, el Fiscal pone de manifiesto que el objeto de la presente cuestión de inconstitucionalidad es idéntico al de otras muchas planteadas por el mismo Tribunal Superior de Justicia de Extremadura que han sido inadmitidas a trámite por carecer notoriamente de fundamento, en los términos que esta expresión ha sido entendida por este Tribunal (ATC 417/2005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2006</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