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15 de octubre de 2003, la Procuradora de los Tribunales doña Isabel Juliá Corujo, en nombre y representación de don Cipriano Fluixá Castelló, interpuso recurso de amparo contra la Sentencia de la Sala Segunda del Tribunal Supremo de 25 de septiembre de 2003, por la que se casó la Sentencia absolutoria dictada por la Sección Segunda de la Audiencia Provincial de Valencia con fecha de 13 de julio de 2002, en procedimiento seguido contra el actor por delitos de prevaricación y contra el medio ambiente, dictándose otra Sentencia, en la que se impusieron las siguientes penas: 24 meses de multa, a razón de una cuota diria por importe de 50.000 pesetas e inhabilitación especial para empleo o cargo público por tiempo de ocho años, por el primero de dichos delitos; y a las penas de un año de prisión , multa de veinticuatro meses, con idéntica cuota diaria , e inhabilitación especial para profesión u oficio por tiempo de dos años, por el segundo.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diciembre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mediante escrito registrado en este Tribunal con fecha de 27 de diciembre de 2005 en el que, de conformidad con la reiterada doctrina dictada al respecto por este Tribunal, consideraba procedente la suspensión, exclusivamente, de la ejecución de la pena privativa de libertad impuesta al demandante de amparo, dada la corta duración de la misma. En cuanto a las penas de inhabilitación para cargo público por tiempo de ocho años y de inhabilitación especial para el desempeño de profesión u oficio por tiempo de dos años, entiende el Ministerio Fiscal que al no tratarse en este caso de penas accesorias que hubieran de seguir la suerte de la principal, sino de penas establecidas como principales por los tipos penales aplicados, ha de seguirse el criterio general relativo a la duración de las mismas acordándose únicamente la suspensión de la ejecución de la mencionada en segundo lugar, dado que su corta duración podría ocasionar que, caso de concederse, el amparo hubiese perdido su objeto ocasionándose al recurrente un perjuicio irreparable. Finalmente, a juicio del Ministerio Fiscal no procede la suspensión de la ejecución del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su parte, evacuó idéntico trámite mediante escrito de fecha 28 de diciembre de 2005 en el que solicitaba la suspensión de la ejecución de todas las penas impuestas al demandante de amparo en atención a las siguientes razones: 1) la de la pena de prisión, por motivo de su corta duración (un año)que haría perder al amparo su finalidad; 2) la de las penas de multa, por razón de que la incidencia de su ejecución en el patrimonio del actor sería desproporcionada dado su montante (72 millones de pesetas) e irreversible el perjuicio que con ello se le ocasionaría ya que su nómina mensual como ATS asciende a 1.574,65 euros, con el añadido de una pequeña retribución por turnos de guardia (según se acredita por la aportación de las nóminas de junio y octubre de 2005), lo que hace imposible el pago, siquiera sea parcial, de las mencionadas multas -por lo demás impuestas sin consideración alguna a la previsión legal establecida en el art.53 CP y, en consecuencia, contra legem- y podría determinar su ingreso en prisión por impago de las referidas multas (se citan a este respecto los AATC 88/1997, de 17 de marzo y 378/1997, de 24 de noviembre); y 3) la de las penas de inhabilitación, por cuanto su ejecución comporta una evidente afección al derecho del demandante de amparo al honor, siendo además la de inhabilitación especial de tan corta duración (dos años) que, previsiblemente, de no suspenderse su ejecución el amparo, caso de concederse, habría perdido ya su finalidad respecto de la misma al haberse cumplido en su integridad.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en primer lugar, a acordar la suspensión interesada en lo relativo a la pena privativa de libertad dado que, de no suspenderse, podría ocasionarse al demandante de amparo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 la pena privativa de libertad no conlleva en este caso automáticamente la suspensión de las penas de inhabilitación para cargo público y para profesión u oficio, asimismo impuestas al demandante de amparo por la Sentencia recurrida, ya que las mismas no tienen en este caso naturaleza de penas accesorias que según nuestra doctrina hubieran de seguir la suerte de la pena principal, sino que poseen carácter autónomo respecto de esta última. Habida cuenta de ello, procede únicamente la suspensión de la ejecución de la pena de inhabilitación especial para profesión u oficio por tiempo de dos años, dado que su corta duración podría determinar que el amparo solicitado, caso de concederse, hubiera perdido todo efecto útil respecto de la misma. No procede, en cambio, la suspensión de la pena de inhabilitación para todo cargo público por tiempo de ocho años, toda vez que el demandante de amparo cesó en su condición de Alcalde Presidente de la Corporación municipal de Xeresa (Valencia) con fecha de 28 de enero de 2005, esto es, bastante tiempo antes de haber recaído contra él la Sentencia condenatoria dictada por la Sala Segunda del Tribunal Supremo con fecha de 25 de septiembre de 2005 y sin que conste la existencia de conexión entre dicho cese y la ejecución de la indicada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Especial consideración merece, finalmente, la solicitud de suspensión de la ejecución de las penas de multa impuestas al recurrente por un montante singularmente elevado y sin consideración a su situación patrimonial ya que, tanto la elevada cuantía de las mismas como el resto de las circunstancias concurrentes alegadas, nos conducen excepcionalmente, en este caso, a adoptar una decisión favorable a la suspensión de su ejecución. En efecto las alegaciones presentadas y los sustratos documentales aportados permiten entender que el demandante de amparo ha fundamentado en forma razonable los motivos por los que considera que la no suspensión del pago de las dos penas de multa que le fueron impuestas por la Sentencia recurrida le ocasionaría un perjuicio patrimonial irreparable que haría perder su finalidad al amparo solicitado caso de que eventualmente le fuera concedido (vid., en sentido similar, el ATC 407/2004, de 2 de noviembre). Esa misma excepcionalidad habrá de conducirnos en este caso a una pronta resolución del amparo a fin de no perjudicar el interés general en la pronta ejecución de las resoluciones judiciales. Todo ello sin perjuicio de que por los órganos judiciales competentes se adopten las medidas que se estimen pertinentes para asegurar las obligaciones a las que tendría que hacer frente el recurrente en el caso de que no se le otorgara el amparo que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solicitada en lo que a la pena privativa de libertad, a las penas de multa y a la pena de inhabilitación especial para profesión u oficio se refiere, y no suspender la de inhabilitación especial para empleo o cargo público.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