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1123/99),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1123/99 interpuesto por “Iberdrola, S.A.” ante la Sala de lo Contencioso-Administrativo del Tribunal Superior de Justicia de Extremadura, contra la Resolución de la Junta económico-administrativa regional de Extremadura de fecha de 26 de abril de 1999, que desestima la reclamación (núm. 6/98) interpuesta contra la Resolución del Jefe de servicio de gestión tributaria e ingresos de la Consejería de Economía, Industria y Hacienda de 1 de octubre de 1998, por la que se desestima la petición de devolución de la cantidad ingresada como consecuencia de la declaración-liquidación presentada por el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entenderse hecha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recayendo sobre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1220-2005,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