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216</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febrero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779-2001), el Auto de la referida Sala de 8 de febrero de 2005,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779-2001 interpuesto por “Cía. Sevillana de Electricidad I, S.A.” ante la Sala de lo Contencioso-Administrativo del Tribunal Superior de Justicia de Extremadura, contra la Resolución de la Junta económico-administrativa regional de Extremadura de fecha de 6 de abril de 2001, que desestima la reclamación (núm. 939-2000) interpuesta contra la Resolución del Jefe de servicio de gestión tributaria e ingresos de la Consejería de economía, industria y hacienda de 3 de octubre de 2000, por la que se desestima la petición de devolución de la cantidad ingresada como consecuencia de la declaración-liquidación presentada por el Impuesto extremeño sobre Instalaciones que incidan en el medio ambiente correspondiente al ejercicio 2000. Admitido y tramitado el citado recurso, y una vez conclusos los autos, el día 29 de noviembre de 2004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no puedan “recaer sobre hechos imponibles gravados por el Estado” pero sí sobre “las materias que la legislación de Régimen Local reserve a las Corporaciones Locales”, aunque sólo,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Primera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255, de 25 de octubre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28 de octubre de 2005 se recibió una comunicación del Presidente del Senado, en el sentido de que se tuviera a dicha Cámara por personada en el procedimiento y por ofrecida su colaboración a los efectos del art. 88.1 LOTC. Posteriormente, por escrito registrado el 2 de noviembre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31 de octubre de 2005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11 de noviembre de 2005 presentó su escrito de alegaciones don Salvador Mateos Sánchez, Letrado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16 de noviembre de 2005, doña Caridad Domínguez Perals, Letrada de la Asamblea de Extremadura, en nombre y representación de la misma, evacuó el trámite de alegaciones solicitando se declare que la Ley 7/1997, de 29 de mayo, de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“el carácter finalista del tributo se materializa en unos términos que pueden reputarse respetuosos con la prohibición de doble imposición establecida por el artículo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evacuó el trámite conferido mediante escrito registrado el día 17 de noviembre de 2005,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8 de febrero de 2005, una cuestión de inconstitucionalidad respecto de la Ley de la Asamblea de Extremadura 7/1997, de 29 de mayo, de normas fiscales sobre producción y transporte de energía que incidan sobre el medio ambiente, por si pudiera ser contraria al art. 6.3 de la Ley Orgánica 8/1980, de 22 de septiembre, de financiación de las 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1221-2005,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