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1657-2002), el Auto de la referida Sala de 8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1657-2002 interpuesto por “ Telefónica de España, S.A.” ante la Sala de lo Contencioso-Administrativo del Tribunal Superior de Justicia de Extremadura, contra la Resolución de la Junta Económico-Administrativa Regional de Extremadura de fecha de 25 de noviembre de 2002, que desestima la reclamación (núm. 332-2002) interpuesta contra la Resolución del Jefe de Servicio de gestión tributaria e ingresos de la Consejería de Economía, Industria y Hacienda de 2 de octubre de 2002, por la que se desestima la petición de devolución de la cantidad ingresada como consecuencia de la declaración-liquidación presentada por el Impuesto extremeño sobre Instalaciones que incidan en el medio ambiente correspondiente al ejercicio 2002.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del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 para establecer y exigir sus propios tributos de acuerdo con la Constitución y la Leyes”, condiciona dicha potestad a que dichos tributos no puedan “ recaer sobre hechos imponibles gravados por el Estado” pero sí sobre “ las materias que la legislación de Régimen Local reserve a las Corporaciones Locales”, aunque sólo, “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Leitón,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 el carácter finalista del tributo se materializa en unos términos que pueden reputarse respetuosos con la prohibición de doble imposición establecida por el artículo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8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1224-2005,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