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160-2003), el Auto de la referida Sala de 11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160-2003 interpuesto por “ Airtel Móvil, S.A.” ante la Sala de lo Contencioso-Administrativo del Tribunal Superior de Justicia de Extremadura, contra la Resolución de la Junta Económico-Administrativa Regional de Extremadura de fecha de 25 de noviembre de 2002, que desestima la reclamación (núm. 152-2002) interpuesta contra la liquidación núm. CP-8012010013061 emitida por la Consejería de Economía, Industria y Hacienda por el Impuesto extremeño sobre Instalaciones que incidan en el medio ambiente correspondiente a los ejercicios 1999, 2000 y 2001. Admitido y tramitado el citado recurso, y una vez conclusos los autos, el día 17 de enero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 para establecer y exigir sus propios tributos de acuerdo con la Constitución y la Leyes”, condiciona dicha potestad a que dichos tributos no puedan “ recaer sobre hechos imponibles gravados por el Estado” pero sí sobre “ las materias que la legislación de Régimen Local reserve a las Corporaciones Locales”, aunque sólo, “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Leitón,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 el carácter finalista del tributo se materializa en unos términos que pueden reputarse respetuosos con la prohibición de doble imposición establecida por el artículo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11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1225-2005,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