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493-2001),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493-2001 interpuesto por “Unión Fenosa Generación, S.A.” ante la Sala de lo Contencioso-Administrativo del Tribunal Superior de Justicia de Extremadura, contra la Resolución de la Junta Económico-Administrativa Regional de Extremadura de fecha de 1 de marzo de 2001, que desestima la reclamación (núm. 1269/99) interpuesta contra la Resolución del Jefe de Servicio de gestión tributaria e Ingresos de la Consejería de Economía, Industria y Hacienda, de fecha de 15 de septiembre de 1999, por la que se desestima la petición de devolución de la cantidad ingresada como consecuencia de la declaración-liquidación presentada por el Impuesto extremeño sobre Instalaciones que incidan en el medio ambiente correspondiente al ejercicio 1999.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1226-2005,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