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1171-1999),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1171/99 interpuesto por “ Red Eléctrica de España, S.A.” ante la Sala de lo Contencioso-Administrativo del Tribunal Superior de Justicia de Extremadura, contra la Resolución de la Junta Económico-Administrativa Regional de Extremadura de fecha de 26 de abril de 1999, que desestima la reclamación (núm. 8/98) interpuesta contra la liquidación practicada por el Servicio de gestión tributaria e ingresos de la Consejería de Economía, Industria y Comercio de la Junta de Extremadura de fecha 20 de octubre de 1998, en concepto de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 para establecer y exigir sus propios tributos de acuerdo con la Constitución y la Leyes” , condiciona dicha potestad a que dichos tributos no puedan “ recaer sobre hechos imponibles gravados por el Estado” pero sí sobre “ las materias que la legislación de Régimen Local reserve a las Corporaciones Locales” , aunque sólo, “ en los supuestos en que dicha legislación lo prevea y en los términos en que la misma contemple” .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 propiedad de los bienes inmuebles de naturaleza rústica y urbana” ,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 el carácter finalista del tributo se materializa en unos términos que pueden reputarse respetuosos con la prohibición de doble imposición establecida por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1299-2005,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