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216- 2001), el Auto de la referida Sala de 10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administrativo núm. 216-2001 interpuesto por “Iberdrola, S.A.” ante la Sala de lo Contencioso-Administrativo del Tribunal Superior de Justicia de Extremadura, contra la Resolución de la Junta Económico-Administrativa Regional de Extremadura de fecha 1 de marzo de 2001, que desestima la reclamación (núm. 1270/99) interpuesta contra la Resolución de la Dirección General de Ingresos de la Consejería de Economía, Industria y Comercio de la Junta de Extremadura con fecha de 15 de septiembre de 1999, por la que se desestima la petición de devolución de ingresos indebidos formulada en relación con la declaración-liquidación presentada en concepto de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10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